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ADDC1C" w14:textId="77777777" w:rsidR="008D3069" w:rsidRPr="003013DE" w:rsidRDefault="008D3069" w:rsidP="00EA2389">
      <w:pPr>
        <w:spacing w:before="138"/>
        <w:rPr>
          <w:b/>
          <w:sz w:val="18"/>
        </w:rPr>
      </w:pPr>
    </w:p>
    <w:p w14:paraId="7E74CA0F" w14:textId="446D857A" w:rsidR="00EA2389" w:rsidRPr="003013DE" w:rsidRDefault="00EA2389" w:rsidP="008D3069">
      <w:pPr>
        <w:spacing w:line="360" w:lineRule="auto"/>
        <w:jc w:val="center"/>
        <w:rPr>
          <w:rFonts w:ascii="Times New Roman" w:hAnsi="Times New Roman" w:cs="Times New Roman"/>
          <w:b/>
          <w:bCs/>
          <w:sz w:val="24"/>
          <w:szCs w:val="24"/>
          <w:lang w:val="es-ES"/>
        </w:rPr>
      </w:pPr>
    </w:p>
    <w:p w14:paraId="108195BC" w14:textId="796B9F79" w:rsidR="008D3069" w:rsidRPr="003013DE" w:rsidRDefault="00EA2389" w:rsidP="008D3069">
      <w:pPr>
        <w:spacing w:line="360" w:lineRule="auto"/>
        <w:jc w:val="center"/>
        <w:rPr>
          <w:rFonts w:ascii="Times New Roman" w:hAnsi="Times New Roman" w:cs="Times New Roman"/>
          <w:b/>
          <w:bCs/>
          <w:sz w:val="28"/>
          <w:szCs w:val="28"/>
          <w:lang w:val="es-ES"/>
        </w:rPr>
      </w:pPr>
      <w:r w:rsidRPr="003013DE">
        <w:rPr>
          <w:rFonts w:ascii="Times New Roman" w:hAnsi="Times New Roman" w:cs="Times New Roman"/>
          <w:b/>
          <w:bCs/>
          <w:sz w:val="28"/>
          <w:szCs w:val="28"/>
          <w:lang w:val="es-ES"/>
        </w:rPr>
        <w:t xml:space="preserve">UNIVERSIDAD INTERNACIONAL DE LAS AMÉRICAS </w:t>
      </w:r>
    </w:p>
    <w:p w14:paraId="6A8564EE" w14:textId="25A659D7" w:rsidR="00EA2389" w:rsidRPr="003013DE" w:rsidRDefault="00EA2389" w:rsidP="008D3069">
      <w:pPr>
        <w:spacing w:line="360" w:lineRule="auto"/>
        <w:jc w:val="center"/>
        <w:rPr>
          <w:rFonts w:ascii="Times New Roman" w:hAnsi="Times New Roman" w:cs="Times New Roman"/>
          <w:b/>
          <w:bCs/>
          <w:sz w:val="26"/>
          <w:szCs w:val="26"/>
          <w:lang w:val="es-ES"/>
        </w:rPr>
      </w:pPr>
      <w:r w:rsidRPr="003013DE">
        <w:rPr>
          <w:rFonts w:ascii="Times New Roman" w:hAnsi="Times New Roman" w:cs="Times New Roman"/>
          <w:b/>
          <w:bCs/>
          <w:sz w:val="26"/>
          <w:szCs w:val="26"/>
          <w:lang w:val="es-ES"/>
        </w:rPr>
        <w:t>FACULTAD DE</w:t>
      </w:r>
      <w:r w:rsidR="00262006" w:rsidRPr="003013DE">
        <w:rPr>
          <w:rFonts w:ascii="Times New Roman" w:hAnsi="Times New Roman" w:cs="Times New Roman"/>
          <w:b/>
          <w:bCs/>
          <w:sz w:val="26"/>
          <w:szCs w:val="26"/>
          <w:lang w:val="es-ES"/>
        </w:rPr>
        <w:t xml:space="preserve"> MEDICINA Y CIRUGÍA </w:t>
      </w:r>
    </w:p>
    <w:p w14:paraId="4768F48B" w14:textId="77777777" w:rsidR="008D3069" w:rsidRPr="003013DE" w:rsidRDefault="008D3069" w:rsidP="008D3069">
      <w:pPr>
        <w:spacing w:line="360" w:lineRule="auto"/>
        <w:jc w:val="center"/>
        <w:rPr>
          <w:rFonts w:ascii="Times New Roman" w:hAnsi="Times New Roman" w:cs="Times New Roman"/>
          <w:b/>
          <w:bCs/>
          <w:sz w:val="26"/>
          <w:szCs w:val="26"/>
          <w:lang w:val="es-ES"/>
        </w:rPr>
      </w:pPr>
    </w:p>
    <w:p w14:paraId="5F0387E0" w14:textId="77777777" w:rsidR="00B03D44" w:rsidRPr="003013DE" w:rsidRDefault="008D3069" w:rsidP="008D3069">
      <w:pPr>
        <w:spacing w:line="360" w:lineRule="auto"/>
        <w:jc w:val="center"/>
        <w:rPr>
          <w:rFonts w:ascii="Times New Roman" w:hAnsi="Times New Roman" w:cs="Times New Roman"/>
          <w:b/>
          <w:bCs/>
          <w:sz w:val="24"/>
          <w:szCs w:val="24"/>
          <w:lang w:val="es-ES"/>
        </w:rPr>
      </w:pPr>
      <w:r w:rsidRPr="003013DE">
        <w:rPr>
          <w:rFonts w:ascii="Times New Roman" w:hAnsi="Times New Roman" w:cs="Times New Roman"/>
          <w:b/>
          <w:bCs/>
          <w:sz w:val="24"/>
          <w:szCs w:val="24"/>
          <w:lang w:val="es-ES"/>
        </w:rPr>
        <w:t xml:space="preserve">TRABAJO FINAL DE GRADUACIÓN PARA OPTAR POR EL </w:t>
      </w:r>
      <w:r w:rsidR="00EA2389" w:rsidRPr="003013DE">
        <w:rPr>
          <w:rFonts w:ascii="Times New Roman" w:hAnsi="Times New Roman" w:cs="Times New Roman"/>
          <w:b/>
          <w:bCs/>
          <w:sz w:val="24"/>
          <w:szCs w:val="24"/>
          <w:lang w:val="es-ES"/>
        </w:rPr>
        <w:t>GRADO</w:t>
      </w:r>
      <w:r w:rsidRPr="003013DE">
        <w:rPr>
          <w:rFonts w:ascii="Times New Roman" w:hAnsi="Times New Roman" w:cs="Times New Roman"/>
          <w:b/>
          <w:bCs/>
          <w:sz w:val="24"/>
          <w:szCs w:val="24"/>
          <w:lang w:val="es-ES"/>
        </w:rPr>
        <w:t xml:space="preserve"> DE </w:t>
      </w:r>
      <w:r w:rsidR="00B03D44" w:rsidRPr="003013DE">
        <w:rPr>
          <w:rFonts w:ascii="Times New Roman" w:hAnsi="Times New Roman" w:cs="Times New Roman"/>
          <w:b/>
          <w:bCs/>
          <w:sz w:val="24"/>
          <w:szCs w:val="24"/>
          <w:lang w:val="es-ES"/>
        </w:rPr>
        <w:t xml:space="preserve">LICENCIATURA EN MEDICINA Y CIRUGÍA </w:t>
      </w:r>
    </w:p>
    <w:p w14:paraId="6EF8AD6B" w14:textId="3C81C5E0" w:rsidR="00EA2389" w:rsidRPr="003013DE" w:rsidRDefault="00EA2389" w:rsidP="008D3069">
      <w:pPr>
        <w:spacing w:line="360" w:lineRule="auto"/>
        <w:jc w:val="center"/>
        <w:rPr>
          <w:rFonts w:ascii="Times New Roman" w:hAnsi="Times New Roman" w:cs="Times New Roman"/>
          <w:sz w:val="24"/>
          <w:szCs w:val="24"/>
          <w:lang w:val="es-ES"/>
        </w:rPr>
      </w:pPr>
    </w:p>
    <w:p w14:paraId="0DF3BB36" w14:textId="77777777" w:rsidR="00EA2389" w:rsidRPr="003013DE" w:rsidRDefault="00EA2389" w:rsidP="008D3069">
      <w:pPr>
        <w:spacing w:line="360" w:lineRule="auto"/>
        <w:jc w:val="center"/>
        <w:rPr>
          <w:rFonts w:ascii="Times New Roman" w:hAnsi="Times New Roman" w:cs="Times New Roman"/>
          <w:b/>
          <w:bCs/>
          <w:sz w:val="24"/>
          <w:szCs w:val="24"/>
          <w:lang w:val="es-ES"/>
        </w:rPr>
      </w:pPr>
    </w:p>
    <w:p w14:paraId="7C2B85A8" w14:textId="61D60469" w:rsidR="00134002" w:rsidRPr="003013DE" w:rsidRDefault="00EA2389" w:rsidP="00717175">
      <w:pPr>
        <w:spacing w:line="360" w:lineRule="auto"/>
        <w:jc w:val="center"/>
        <w:rPr>
          <w:rFonts w:ascii="Times New Roman" w:hAnsi="Times New Roman" w:cs="Times New Roman"/>
          <w:b/>
          <w:bCs/>
          <w:sz w:val="24"/>
          <w:szCs w:val="24"/>
          <w:lang w:val="es-ES"/>
        </w:rPr>
      </w:pPr>
      <w:r w:rsidRPr="003013DE">
        <w:rPr>
          <w:rFonts w:ascii="Times New Roman" w:hAnsi="Times New Roman" w:cs="Times New Roman"/>
          <w:b/>
          <w:bCs/>
          <w:sz w:val="24"/>
          <w:szCs w:val="24"/>
          <w:lang w:val="es-ES"/>
        </w:rPr>
        <w:t>T</w:t>
      </w:r>
      <w:r w:rsidR="008D3069" w:rsidRPr="003013DE">
        <w:rPr>
          <w:rFonts w:ascii="Times New Roman" w:hAnsi="Times New Roman" w:cs="Times New Roman"/>
          <w:b/>
          <w:bCs/>
          <w:sz w:val="24"/>
          <w:szCs w:val="24"/>
          <w:lang w:val="es-ES"/>
        </w:rPr>
        <w:t>ítulo</w:t>
      </w:r>
      <w:r w:rsidRPr="003013DE">
        <w:rPr>
          <w:rFonts w:ascii="Times New Roman" w:hAnsi="Times New Roman" w:cs="Times New Roman"/>
          <w:b/>
          <w:bCs/>
          <w:sz w:val="24"/>
          <w:szCs w:val="24"/>
          <w:lang w:val="es-ES"/>
        </w:rPr>
        <w:t xml:space="preserve"> de la investigación: </w:t>
      </w:r>
      <w:r w:rsidR="00134002" w:rsidRPr="003013DE">
        <w:rPr>
          <w:rFonts w:ascii="Times New Roman" w:hAnsi="Times New Roman" w:cs="Times New Roman"/>
          <w:b/>
          <w:bCs/>
          <w:sz w:val="24"/>
          <w:szCs w:val="24"/>
          <w:lang w:val="es-ES"/>
        </w:rPr>
        <w:t xml:space="preserve">Análisis del papel </w:t>
      </w:r>
      <w:r w:rsidR="00717175" w:rsidRPr="003013DE">
        <w:rPr>
          <w:rFonts w:ascii="Times New Roman" w:hAnsi="Times New Roman" w:cs="Times New Roman"/>
          <w:b/>
          <w:bCs/>
          <w:sz w:val="24"/>
          <w:szCs w:val="24"/>
          <w:lang w:val="es-ES"/>
        </w:rPr>
        <w:t>del microbiota intestinal</w:t>
      </w:r>
      <w:r w:rsidR="00134002" w:rsidRPr="003013DE">
        <w:rPr>
          <w:rFonts w:ascii="Times New Roman" w:hAnsi="Times New Roman" w:cs="Times New Roman"/>
          <w:b/>
          <w:bCs/>
          <w:sz w:val="24"/>
          <w:szCs w:val="24"/>
          <w:lang w:val="es-ES"/>
        </w:rPr>
        <w:t xml:space="preserve"> en la salud neurológica y su relación con enfermedades neurodegenerativas desde una revisión de la literatura en el periodo 2020–2025.</w:t>
      </w:r>
    </w:p>
    <w:p w14:paraId="70F3AA7C" w14:textId="2CB36E33" w:rsidR="00EA2389" w:rsidRPr="003013DE" w:rsidRDefault="00EA2389" w:rsidP="00134002">
      <w:pPr>
        <w:spacing w:line="360" w:lineRule="auto"/>
        <w:jc w:val="center"/>
        <w:rPr>
          <w:rFonts w:ascii="Times New Roman" w:hAnsi="Times New Roman" w:cs="Times New Roman"/>
          <w:b/>
          <w:bCs/>
          <w:sz w:val="24"/>
          <w:szCs w:val="24"/>
          <w:lang w:val="es-ES"/>
        </w:rPr>
      </w:pPr>
    </w:p>
    <w:p w14:paraId="78813111" w14:textId="77777777" w:rsidR="00EA2389" w:rsidRPr="003013DE" w:rsidRDefault="00EA2389" w:rsidP="008D3069">
      <w:pPr>
        <w:spacing w:line="360" w:lineRule="auto"/>
        <w:jc w:val="center"/>
        <w:rPr>
          <w:rFonts w:ascii="Times New Roman" w:hAnsi="Times New Roman" w:cs="Times New Roman"/>
          <w:sz w:val="24"/>
          <w:szCs w:val="24"/>
          <w:lang w:val="es-ES"/>
        </w:rPr>
      </w:pPr>
    </w:p>
    <w:p w14:paraId="63959F72" w14:textId="4E35E487" w:rsidR="00EA2389" w:rsidRPr="003013DE" w:rsidRDefault="00262006" w:rsidP="008D3069">
      <w:pPr>
        <w:spacing w:line="360" w:lineRule="auto"/>
        <w:jc w:val="center"/>
        <w:rPr>
          <w:rFonts w:ascii="Times New Roman" w:hAnsi="Times New Roman" w:cs="Times New Roman"/>
          <w:sz w:val="24"/>
          <w:szCs w:val="24"/>
          <w:lang w:val="es-ES"/>
        </w:rPr>
      </w:pPr>
      <w:r w:rsidRPr="003013DE">
        <w:rPr>
          <w:rFonts w:ascii="Times New Roman" w:hAnsi="Times New Roman" w:cs="Times New Roman"/>
          <w:b/>
          <w:bCs/>
          <w:sz w:val="24"/>
          <w:szCs w:val="24"/>
          <w:lang w:val="es-ES"/>
        </w:rPr>
        <w:t>Sustenteante: Zoraida Villarreal Vega</w:t>
      </w:r>
    </w:p>
    <w:p w14:paraId="2E615862" w14:textId="4DD7E34E" w:rsidR="00EA2389" w:rsidRPr="003013DE" w:rsidRDefault="00EA2389" w:rsidP="00262006">
      <w:pPr>
        <w:spacing w:line="360" w:lineRule="auto"/>
        <w:jc w:val="center"/>
        <w:rPr>
          <w:rFonts w:ascii="Times New Roman" w:hAnsi="Times New Roman" w:cs="Times New Roman"/>
          <w:b/>
          <w:bCs/>
          <w:sz w:val="24"/>
          <w:szCs w:val="24"/>
          <w:lang w:val="es-ES"/>
        </w:rPr>
      </w:pPr>
      <w:r w:rsidRPr="003013DE">
        <w:rPr>
          <w:rFonts w:ascii="Times New Roman" w:hAnsi="Times New Roman" w:cs="Times New Roman"/>
          <w:b/>
          <w:bCs/>
          <w:sz w:val="24"/>
          <w:szCs w:val="24"/>
          <w:lang w:val="es-ES"/>
        </w:rPr>
        <w:t xml:space="preserve">Tutor(a): </w:t>
      </w:r>
      <w:r w:rsidR="00262006" w:rsidRPr="003013DE">
        <w:rPr>
          <w:rFonts w:ascii="Times New Roman" w:hAnsi="Times New Roman" w:cs="Times New Roman"/>
          <w:b/>
          <w:bCs/>
          <w:sz w:val="24"/>
          <w:szCs w:val="24"/>
          <w:lang w:val="es-ES"/>
        </w:rPr>
        <w:t xml:space="preserve">Dr Kenneth Ramírez </w:t>
      </w:r>
    </w:p>
    <w:p w14:paraId="2F9F0808" w14:textId="77777777" w:rsidR="00EA2389" w:rsidRPr="003013DE" w:rsidRDefault="00EA2389" w:rsidP="008D3069">
      <w:pPr>
        <w:spacing w:line="360" w:lineRule="auto"/>
        <w:jc w:val="center"/>
        <w:rPr>
          <w:rFonts w:ascii="Times New Roman" w:hAnsi="Times New Roman" w:cs="Times New Roman"/>
          <w:sz w:val="24"/>
          <w:szCs w:val="24"/>
          <w:lang w:val="es-ES"/>
        </w:rPr>
      </w:pPr>
    </w:p>
    <w:p w14:paraId="75BF769B" w14:textId="77777777" w:rsidR="00EA2389" w:rsidRPr="003013DE" w:rsidRDefault="00EA2389" w:rsidP="008D3069">
      <w:pPr>
        <w:spacing w:line="360" w:lineRule="auto"/>
        <w:jc w:val="center"/>
        <w:rPr>
          <w:rFonts w:ascii="Times New Roman" w:hAnsi="Times New Roman" w:cs="Times New Roman"/>
          <w:sz w:val="24"/>
          <w:szCs w:val="24"/>
          <w:lang w:val="es-ES"/>
        </w:rPr>
      </w:pPr>
    </w:p>
    <w:p w14:paraId="1274F392" w14:textId="532768D4" w:rsidR="00EA2389" w:rsidRPr="003013DE" w:rsidRDefault="00EA2389" w:rsidP="008D3069">
      <w:pPr>
        <w:spacing w:line="360" w:lineRule="auto"/>
        <w:jc w:val="center"/>
        <w:rPr>
          <w:rFonts w:ascii="Times New Roman" w:hAnsi="Times New Roman" w:cs="Times New Roman"/>
          <w:b/>
          <w:bCs/>
          <w:sz w:val="24"/>
          <w:szCs w:val="24"/>
          <w:lang w:val="es-ES"/>
        </w:rPr>
      </w:pPr>
      <w:r w:rsidRPr="003013DE">
        <w:rPr>
          <w:rFonts w:ascii="Times New Roman" w:hAnsi="Times New Roman" w:cs="Times New Roman"/>
          <w:b/>
          <w:bCs/>
          <w:sz w:val="24"/>
          <w:szCs w:val="24"/>
          <w:lang w:val="es-ES"/>
        </w:rPr>
        <w:t>Sede</w:t>
      </w:r>
      <w:r w:rsidR="00262006" w:rsidRPr="003013DE">
        <w:rPr>
          <w:rFonts w:ascii="Times New Roman" w:hAnsi="Times New Roman" w:cs="Times New Roman"/>
          <w:b/>
          <w:bCs/>
          <w:sz w:val="24"/>
          <w:szCs w:val="24"/>
          <w:lang w:val="es-ES"/>
        </w:rPr>
        <w:t xml:space="preserve">: </w:t>
      </w:r>
      <w:r w:rsidR="00EB1E4B" w:rsidRPr="003013DE">
        <w:rPr>
          <w:rFonts w:ascii="Times New Roman" w:hAnsi="Times New Roman" w:cs="Times New Roman"/>
          <w:b/>
          <w:bCs/>
          <w:sz w:val="24"/>
          <w:szCs w:val="24"/>
          <w:lang w:val="es-ES"/>
        </w:rPr>
        <w:t xml:space="preserve">Central, San José </w:t>
      </w:r>
    </w:p>
    <w:p w14:paraId="787538E9" w14:textId="64770972" w:rsidR="00EA2389" w:rsidRPr="003013DE" w:rsidRDefault="00717175" w:rsidP="008D3069">
      <w:pPr>
        <w:spacing w:line="360" w:lineRule="auto"/>
        <w:jc w:val="center"/>
        <w:rPr>
          <w:rFonts w:ascii="Times New Roman" w:hAnsi="Times New Roman" w:cs="Times New Roman"/>
          <w:sz w:val="24"/>
          <w:szCs w:val="24"/>
          <w:lang w:val="es-ES"/>
        </w:rPr>
      </w:pPr>
      <w:r w:rsidRPr="003013DE">
        <w:rPr>
          <w:rFonts w:ascii="Times New Roman" w:hAnsi="Times New Roman" w:cs="Times New Roman"/>
          <w:b/>
          <w:bCs/>
          <w:sz w:val="24"/>
          <w:szCs w:val="24"/>
          <w:lang w:val="es-ES"/>
        </w:rPr>
        <w:t>Septiembre, 2025.</w:t>
      </w:r>
    </w:p>
    <w:p w14:paraId="017D57A8" w14:textId="77777777" w:rsidR="00071612" w:rsidRPr="003013DE" w:rsidRDefault="00071612" w:rsidP="00C25CD1">
      <w:pPr>
        <w:spacing w:line="360" w:lineRule="auto"/>
        <w:rPr>
          <w:rFonts w:ascii="Times New Roman" w:hAnsi="Times New Roman" w:cs="Times New Roman"/>
          <w:sz w:val="24"/>
          <w:szCs w:val="24"/>
          <w:lang w:val="es-ES"/>
        </w:rPr>
      </w:pPr>
    </w:p>
    <w:p w14:paraId="4BE8086C" w14:textId="77777777" w:rsidR="00C25CD1" w:rsidRPr="003013DE" w:rsidRDefault="00C25CD1" w:rsidP="00C25CD1">
      <w:pPr>
        <w:spacing w:line="360" w:lineRule="auto"/>
        <w:rPr>
          <w:rFonts w:ascii="Times New Roman" w:hAnsi="Times New Roman" w:cs="Times New Roman"/>
          <w:sz w:val="24"/>
          <w:szCs w:val="24"/>
          <w:lang w:val="es-ES"/>
        </w:rPr>
      </w:pPr>
    </w:p>
    <w:p w14:paraId="36BE1E5A" w14:textId="77777777" w:rsidR="009357B8" w:rsidRPr="003013DE" w:rsidRDefault="009357B8" w:rsidP="008D3069">
      <w:pPr>
        <w:spacing w:line="360" w:lineRule="auto"/>
        <w:jc w:val="center"/>
        <w:rPr>
          <w:rFonts w:ascii="Times New Roman" w:hAnsi="Times New Roman" w:cs="Times New Roman"/>
          <w:sz w:val="24"/>
          <w:szCs w:val="24"/>
          <w:lang w:val="es-ES"/>
        </w:rPr>
      </w:pPr>
    </w:p>
    <w:p w14:paraId="2A55D115" w14:textId="77777777" w:rsidR="003406E6" w:rsidRPr="003013DE" w:rsidRDefault="003406E6" w:rsidP="003406E6">
      <w:pPr>
        <w:pStyle w:val="Default"/>
        <w:outlineLvl w:val="0"/>
        <w:rPr>
          <w:rFonts w:ascii="Times New Roman" w:hAnsi="Times New Roman" w:cs="Times New Roman"/>
          <w:b/>
          <w:bCs/>
          <w:color w:val="auto"/>
          <w:lang w:val="es-ES"/>
        </w:rPr>
      </w:pPr>
      <w:bookmarkStart w:id="0" w:name="_Toc223177103"/>
      <w:r w:rsidRPr="003013DE">
        <w:rPr>
          <w:rFonts w:ascii="Times New Roman" w:hAnsi="Times New Roman" w:cs="Times New Roman"/>
          <w:b/>
          <w:bCs/>
          <w:color w:val="auto"/>
          <w:lang w:val="es-ES"/>
        </w:rPr>
        <w:lastRenderedPageBreak/>
        <w:t>I. Resumen</w:t>
      </w:r>
      <w:bookmarkEnd w:id="0"/>
    </w:p>
    <w:p w14:paraId="3942DD55" w14:textId="77777777" w:rsidR="003406E6" w:rsidRPr="003013DE" w:rsidRDefault="003406E6" w:rsidP="003406E6">
      <w:pPr>
        <w:rPr>
          <w:rFonts w:ascii="Times New Roman" w:hAnsi="Times New Roman" w:cs="Times New Roman"/>
          <w:b/>
          <w:bCs/>
          <w:sz w:val="24"/>
          <w:szCs w:val="24"/>
          <w:lang w:val="es-ES"/>
        </w:rPr>
      </w:pPr>
    </w:p>
    <w:p w14:paraId="5531E363" w14:textId="77777777" w:rsidR="003406E6" w:rsidRPr="00A82F38" w:rsidRDefault="003406E6" w:rsidP="00A82F38">
      <w:pPr>
        <w:spacing w:line="360" w:lineRule="auto"/>
        <w:ind w:firstLine="708"/>
        <w:jc w:val="both"/>
        <w:rPr>
          <w:rFonts w:ascii="Times New Roman" w:hAnsi="Times New Roman" w:cs="Times New Roman"/>
          <w:sz w:val="24"/>
          <w:szCs w:val="24"/>
        </w:rPr>
      </w:pPr>
      <w:r w:rsidRPr="00A82F38">
        <w:rPr>
          <w:rFonts w:ascii="Times New Roman" w:hAnsi="Times New Roman" w:cs="Times New Roman"/>
          <w:sz w:val="24"/>
          <w:szCs w:val="24"/>
        </w:rPr>
        <w:t>La creciente evidencia científica publicada entre 2020 y 2025 ha consolidado el concepto del eje microbiota–intestino–cerebro como un sistema de comunicación bidireccional capaz de modular funciones inmunológicas, metabólicas y neuroquímicas relevantes para la salud neurológica. En este contexto, el presente trabajo tuvo como objetivo general analizar la evidencia científica reciente sobre el papel de la microbiota intestinal en la salud neurológica y su relación con enfermedades neurodegenerativas. De manera específica, se propuso describir los principales mecanismos fisiológicos y bioquímicos implicados en el eje intestino–cerebro, identificar la relación entre alteraciones de la microbiota y patologías como enfermedad de Alzheimer, enfermedad de Parkinson y esclerosis múltiple, y revisar críticamente las intervenciones terapéuticas dirigidas a modular la microbiota intestinal y su impacto clínico.</w:t>
      </w:r>
    </w:p>
    <w:p w14:paraId="75ED412D" w14:textId="77777777" w:rsidR="003406E6" w:rsidRPr="00A82F38" w:rsidRDefault="003406E6" w:rsidP="00A82F38">
      <w:pPr>
        <w:spacing w:line="360" w:lineRule="auto"/>
        <w:ind w:firstLine="708"/>
        <w:jc w:val="both"/>
        <w:rPr>
          <w:rFonts w:ascii="Times New Roman" w:hAnsi="Times New Roman" w:cs="Times New Roman"/>
          <w:sz w:val="24"/>
          <w:szCs w:val="24"/>
        </w:rPr>
      </w:pPr>
      <w:r w:rsidRPr="00A82F38">
        <w:rPr>
          <w:rFonts w:ascii="Times New Roman" w:hAnsi="Times New Roman" w:cs="Times New Roman"/>
          <w:sz w:val="24"/>
          <w:szCs w:val="24"/>
        </w:rPr>
        <w:t>La justificación del estudio se fundamenta en la creciente prevalencia de enfermedades neurodegenerativas asociada al envejecimiento poblacional y en la necesidad de ampliar los enfoques tradicionales de la neurología hacia una visión integradora que incorpore factores sistémicos como el microbioma intestinal. Metodológicamente, el trabajo consistió en una revisión bibliográfica de carácter cualitativo centrada en estudios publicados entre 2020 y 2025, incluyendo revisiones sistemáticas, metaanálisis, estudios experimentales y ensayos clínicos relevantes. Se priorizó la evaluación crítica de la calidad metodológica, la consistencia de hallazgos y la plausibilidad biológica de los mecanismos propuestos, con especial atención a investigaciones relacionadas con enfermedad de Parkinson, Alzheimer y esclerosis múltiple.</w:t>
      </w:r>
    </w:p>
    <w:p w14:paraId="29EA50FD" w14:textId="77777777" w:rsidR="003406E6" w:rsidRPr="00A82F38" w:rsidRDefault="003406E6" w:rsidP="00A82F38">
      <w:pPr>
        <w:spacing w:line="360" w:lineRule="auto"/>
        <w:ind w:firstLine="708"/>
        <w:jc w:val="both"/>
        <w:rPr>
          <w:rFonts w:ascii="Times New Roman" w:hAnsi="Times New Roman" w:cs="Times New Roman"/>
          <w:sz w:val="24"/>
          <w:szCs w:val="24"/>
        </w:rPr>
      </w:pPr>
      <w:r w:rsidRPr="00A82F38">
        <w:rPr>
          <w:rFonts w:ascii="Times New Roman" w:hAnsi="Times New Roman" w:cs="Times New Roman"/>
          <w:sz w:val="24"/>
          <w:szCs w:val="24"/>
        </w:rPr>
        <w:t xml:space="preserve">Los resultados evidencian que la microbiota intestinal influye en la función neurológica a través de múltiples vías convergentes: producción de ácidos grasos de cadena corta, síntesis y modulación de neurotransmisores, regulación de la respuesta inmune periférica, mantenimiento de la integridad de la barrera intestinal y posible impacto sobre la barrera hematoencefálica. </w:t>
      </w:r>
    </w:p>
    <w:p w14:paraId="0B6D9E6D" w14:textId="77777777" w:rsidR="008C53D0" w:rsidRDefault="008C53D0" w:rsidP="003406E6">
      <w:pPr>
        <w:pStyle w:val="Ttulo1"/>
        <w:rPr>
          <w:color w:val="auto"/>
          <w:lang w:val="es-ES"/>
        </w:rPr>
      </w:pPr>
    </w:p>
    <w:p w14:paraId="0E74E8E3" w14:textId="77777777" w:rsidR="008C53D0" w:rsidRPr="008C53D0" w:rsidRDefault="008C53D0" w:rsidP="008C53D0">
      <w:pPr>
        <w:rPr>
          <w:lang w:val="es-ES"/>
        </w:rPr>
      </w:pPr>
    </w:p>
    <w:p w14:paraId="16DDF4BE" w14:textId="7C2DFDC6" w:rsidR="003406E6" w:rsidRPr="003013DE" w:rsidRDefault="003406E6" w:rsidP="003406E6">
      <w:pPr>
        <w:pStyle w:val="Ttulo1"/>
        <w:rPr>
          <w:color w:val="auto"/>
          <w:lang w:val="es-ES"/>
        </w:rPr>
      </w:pPr>
      <w:r w:rsidRPr="003013DE">
        <w:rPr>
          <w:color w:val="auto"/>
          <w:lang w:val="es-ES"/>
        </w:rPr>
        <w:lastRenderedPageBreak/>
        <w:cr/>
      </w:r>
      <w:bookmarkStart w:id="1" w:name="_Toc223177104"/>
      <w:r w:rsidRPr="003013DE">
        <w:rPr>
          <w:color w:val="auto"/>
          <w:lang w:val="es-ES"/>
        </w:rPr>
        <w:t>II. Agradecimientos</w:t>
      </w:r>
      <w:bookmarkEnd w:id="1"/>
    </w:p>
    <w:p w14:paraId="5C02D48B"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primer lugar, agradezco profundamente a Dios, por haberme concedido la vida, la salud y la fortaleza necesarias para culminar esta etapa tan importante. Su presencia constante me ha guiado en los momentos de dificultad y ha sido mi mayor fuente de esperanza, fe y motivación.</w:t>
      </w:r>
    </w:p>
    <w:p w14:paraId="73A0C92F"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A mi familia, por ser el pilar fundamental de mi vida. A mi esposo, por su paciencia, amor y comprensión incondicional durante este largo camino académico; por ser mi compañero en cada reto, mi refugio en cada desvelo, mi soporte emocional y económico y sobretodo ser quien cuido de Lucas en muchas ocasiones para que pudiera estudiar. A mi hijo, por ser mi mayor inspiración y la razón que da sentido a cada sacrificio realizado. A mi madre, por su ejemplo de esfuerzo y perseverancia, por su apoyo emocional y económico en gran parte de mi carrera. A mi padre porque de una u otra forma estuvo presente a lo largo de este camino alentándome siempre para continuar. A mi abuelita Alicia, cuya memoria sigue siendo luz y fuerza en mi vida; sé que desde el cielo celebra conmigo este logro. </w:t>
      </w:r>
    </w:p>
    <w:p w14:paraId="7A531777"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También agradezco a mis amigas, por haber hecho de la carrera un camino más llevadero. A Fiorella, mi inseparable, compañera de carrera y mejor amiga; gracias, por ser un ejemplo de lucha y perseverancia, por celebrar mis logros como si fueran tuyos, a Katherine, por ser mi paño de lágrimas y recibirme siempre con tanto amor en su hogar en los momentos más difíciles; y a Jean, por brindarme su apoyo incondicional y ser mi refugio en los momentos de soledad, de corazón gracias mi jeani por abrirme las puertas de su casa con tanto amor. Agradezco también a mis compañeras Fernanda, Maybelline y Dayanna por por todas las risas y lágrimas compartidas; gracias a ustedes este camino ha sido más ameno. Especialmente a Fernanda quien en ocasiones fue la niñera de Lucas en este final de carrera, de corazón, gracias.</w:t>
      </w:r>
    </w:p>
    <w:p w14:paraId="60B8391F"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Extiendo mi reconocimiento a los docentes que guiaron y dejaron huella en mi formación profesional. En particular, agradezco profundamente al Dr. Hernández, por su vocación, sus consejos y su amistad sincera, gracias por demostrar que aún quedan docentes </w:t>
      </w:r>
      <w:r w:rsidRPr="003013DE">
        <w:rPr>
          <w:rFonts w:ascii="Times New Roman" w:eastAsiaTheme="minorEastAsia" w:hAnsi="Times New Roman" w:cs="Times New Roman"/>
          <w:sz w:val="24"/>
          <w:szCs w:val="24"/>
          <w:lang w:eastAsia="es-ES"/>
        </w:rPr>
        <w:lastRenderedPageBreak/>
        <w:t>con una calidad humana intachable. Por último, doy las gracias a mi tutor, el Dr. Ramírez, por su dedicación, acompañamiento y orientación durante la realización de esta tesis.</w:t>
      </w:r>
    </w:p>
    <w:p w14:paraId="16745512"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Finalmente, agradezco a todas las personas que, de una u otra manera, aportaron su apoyo, palabras de aliento o compañía durante este proceso. Cada gesto de cariño y solidaridad ha sido fundamental para que hoy pueda celebrar este logro que marca un nuevo comienzo en mi vida profesional y personal.</w:t>
      </w:r>
    </w:p>
    <w:p w14:paraId="07F06238" w14:textId="77777777" w:rsidR="003406E6" w:rsidRPr="003013DE" w:rsidRDefault="003406E6" w:rsidP="003406E6">
      <w:pPr>
        <w:spacing w:line="278" w:lineRule="auto"/>
        <w:rPr>
          <w:rFonts w:eastAsiaTheme="minorEastAsia"/>
          <w:kern w:val="2"/>
          <w:sz w:val="24"/>
          <w:szCs w:val="24"/>
          <w:lang w:eastAsia="es-ES"/>
          <w14:ligatures w14:val="standardContextual"/>
        </w:rPr>
      </w:pPr>
    </w:p>
    <w:p w14:paraId="2BF4A72E" w14:textId="77777777" w:rsidR="003406E6" w:rsidRPr="003013DE" w:rsidRDefault="003406E6" w:rsidP="003406E6">
      <w:pPr>
        <w:rPr>
          <w:rFonts w:ascii="Times New Roman" w:hAnsi="Times New Roman" w:cs="Times New Roman"/>
          <w:b/>
          <w:bCs/>
          <w:sz w:val="24"/>
          <w:szCs w:val="24"/>
          <w:lang w:val="es-ES"/>
        </w:rPr>
      </w:pPr>
    </w:p>
    <w:p w14:paraId="63BE6953" w14:textId="77777777" w:rsidR="003406E6" w:rsidRPr="003013DE" w:rsidRDefault="003406E6" w:rsidP="003406E6">
      <w:pPr>
        <w:rPr>
          <w:rFonts w:ascii="Times New Roman" w:hAnsi="Times New Roman" w:cs="Times New Roman"/>
          <w:b/>
          <w:bCs/>
          <w:sz w:val="24"/>
          <w:szCs w:val="24"/>
          <w:lang w:val="es-ES"/>
        </w:rPr>
      </w:pPr>
    </w:p>
    <w:p w14:paraId="1ADB7849" w14:textId="77777777" w:rsidR="003406E6" w:rsidRPr="003013DE" w:rsidRDefault="003406E6" w:rsidP="003406E6">
      <w:pPr>
        <w:rPr>
          <w:rFonts w:ascii="Times New Roman" w:hAnsi="Times New Roman" w:cs="Times New Roman"/>
          <w:b/>
          <w:bCs/>
          <w:sz w:val="24"/>
          <w:szCs w:val="24"/>
          <w:lang w:val="es-ES"/>
        </w:rPr>
      </w:pPr>
    </w:p>
    <w:p w14:paraId="70A247E8" w14:textId="77777777" w:rsidR="003406E6" w:rsidRPr="003013DE" w:rsidRDefault="003406E6" w:rsidP="003406E6">
      <w:pPr>
        <w:rPr>
          <w:rFonts w:ascii="Times New Roman" w:hAnsi="Times New Roman" w:cs="Times New Roman"/>
          <w:b/>
          <w:bCs/>
          <w:sz w:val="24"/>
          <w:szCs w:val="24"/>
          <w:lang w:val="es-ES"/>
        </w:rPr>
      </w:pPr>
    </w:p>
    <w:p w14:paraId="1CAD82C0" w14:textId="77777777" w:rsidR="003406E6" w:rsidRPr="003013DE" w:rsidRDefault="003406E6" w:rsidP="003406E6">
      <w:pPr>
        <w:rPr>
          <w:rFonts w:ascii="Times New Roman" w:hAnsi="Times New Roman" w:cs="Times New Roman"/>
          <w:b/>
          <w:bCs/>
          <w:sz w:val="24"/>
          <w:szCs w:val="24"/>
          <w:lang w:val="es-ES"/>
        </w:rPr>
      </w:pPr>
    </w:p>
    <w:p w14:paraId="477DAFC7" w14:textId="77777777" w:rsidR="003406E6" w:rsidRPr="003013DE" w:rsidRDefault="003406E6" w:rsidP="003406E6">
      <w:pPr>
        <w:rPr>
          <w:rFonts w:ascii="Times New Roman" w:hAnsi="Times New Roman" w:cs="Times New Roman"/>
          <w:b/>
          <w:bCs/>
          <w:sz w:val="24"/>
          <w:szCs w:val="24"/>
          <w:lang w:val="es-ES"/>
        </w:rPr>
      </w:pPr>
    </w:p>
    <w:p w14:paraId="3BCD4FB1" w14:textId="77777777" w:rsidR="003406E6" w:rsidRPr="003013DE" w:rsidRDefault="003406E6" w:rsidP="003406E6">
      <w:pPr>
        <w:rPr>
          <w:rFonts w:ascii="Times New Roman" w:hAnsi="Times New Roman" w:cs="Times New Roman"/>
          <w:b/>
          <w:bCs/>
          <w:sz w:val="24"/>
          <w:szCs w:val="24"/>
          <w:lang w:val="es-ES"/>
        </w:rPr>
      </w:pPr>
    </w:p>
    <w:p w14:paraId="4E771071" w14:textId="77777777" w:rsidR="003406E6" w:rsidRPr="003013DE" w:rsidRDefault="003406E6" w:rsidP="003406E6">
      <w:pPr>
        <w:rPr>
          <w:rFonts w:ascii="Times New Roman" w:hAnsi="Times New Roman" w:cs="Times New Roman"/>
          <w:b/>
          <w:bCs/>
          <w:sz w:val="24"/>
          <w:szCs w:val="24"/>
          <w:lang w:val="es-ES"/>
        </w:rPr>
      </w:pPr>
    </w:p>
    <w:p w14:paraId="48BEA268" w14:textId="77777777" w:rsidR="003406E6" w:rsidRPr="003013DE" w:rsidRDefault="003406E6" w:rsidP="003406E6">
      <w:pPr>
        <w:rPr>
          <w:rFonts w:ascii="Times New Roman" w:hAnsi="Times New Roman" w:cs="Times New Roman"/>
          <w:b/>
          <w:bCs/>
          <w:sz w:val="24"/>
          <w:szCs w:val="24"/>
          <w:lang w:val="es-ES"/>
        </w:rPr>
      </w:pPr>
    </w:p>
    <w:p w14:paraId="54694413" w14:textId="77777777" w:rsidR="003406E6" w:rsidRPr="003013DE" w:rsidRDefault="003406E6" w:rsidP="003406E6">
      <w:pPr>
        <w:rPr>
          <w:rFonts w:ascii="Times New Roman" w:hAnsi="Times New Roman" w:cs="Times New Roman"/>
          <w:b/>
          <w:bCs/>
          <w:sz w:val="24"/>
          <w:szCs w:val="24"/>
          <w:lang w:val="es-ES"/>
        </w:rPr>
      </w:pPr>
    </w:p>
    <w:p w14:paraId="65657400" w14:textId="77777777" w:rsidR="003406E6" w:rsidRPr="003013DE" w:rsidRDefault="003406E6" w:rsidP="003406E6">
      <w:pPr>
        <w:rPr>
          <w:rFonts w:ascii="Times New Roman" w:hAnsi="Times New Roman" w:cs="Times New Roman"/>
          <w:b/>
          <w:bCs/>
          <w:sz w:val="24"/>
          <w:szCs w:val="24"/>
          <w:lang w:val="es-ES"/>
        </w:rPr>
      </w:pPr>
    </w:p>
    <w:p w14:paraId="002021CF" w14:textId="77777777" w:rsidR="003406E6" w:rsidRPr="003013DE" w:rsidRDefault="003406E6" w:rsidP="003406E6">
      <w:pPr>
        <w:rPr>
          <w:rFonts w:ascii="Times New Roman" w:hAnsi="Times New Roman" w:cs="Times New Roman"/>
          <w:b/>
          <w:bCs/>
          <w:sz w:val="24"/>
          <w:szCs w:val="24"/>
          <w:lang w:val="es-ES"/>
        </w:rPr>
      </w:pPr>
    </w:p>
    <w:p w14:paraId="6BBDB4B3" w14:textId="77777777" w:rsidR="003406E6" w:rsidRPr="003013DE" w:rsidRDefault="003406E6" w:rsidP="003406E6">
      <w:pPr>
        <w:rPr>
          <w:rFonts w:ascii="Times New Roman" w:hAnsi="Times New Roman" w:cs="Times New Roman"/>
          <w:b/>
          <w:bCs/>
          <w:sz w:val="24"/>
          <w:szCs w:val="24"/>
          <w:lang w:val="es-ES"/>
        </w:rPr>
      </w:pPr>
    </w:p>
    <w:p w14:paraId="67CA2133" w14:textId="77777777" w:rsidR="003406E6" w:rsidRPr="003013DE" w:rsidRDefault="003406E6" w:rsidP="003406E6">
      <w:pPr>
        <w:rPr>
          <w:rFonts w:ascii="Times New Roman" w:hAnsi="Times New Roman" w:cs="Times New Roman"/>
          <w:b/>
          <w:bCs/>
          <w:sz w:val="24"/>
          <w:szCs w:val="24"/>
          <w:lang w:val="es-ES"/>
        </w:rPr>
      </w:pPr>
    </w:p>
    <w:p w14:paraId="50689896" w14:textId="77777777" w:rsidR="003406E6" w:rsidRPr="003013DE" w:rsidRDefault="003406E6" w:rsidP="003406E6">
      <w:pPr>
        <w:rPr>
          <w:rFonts w:ascii="Times New Roman" w:hAnsi="Times New Roman" w:cs="Times New Roman"/>
          <w:b/>
          <w:bCs/>
          <w:sz w:val="24"/>
          <w:szCs w:val="24"/>
          <w:lang w:val="es-ES"/>
        </w:rPr>
      </w:pPr>
    </w:p>
    <w:p w14:paraId="57B2A462" w14:textId="77777777" w:rsidR="003406E6" w:rsidRPr="003013DE" w:rsidRDefault="003406E6" w:rsidP="003406E6">
      <w:pPr>
        <w:rPr>
          <w:rFonts w:ascii="Times New Roman" w:hAnsi="Times New Roman" w:cs="Times New Roman"/>
          <w:b/>
          <w:bCs/>
          <w:sz w:val="24"/>
          <w:szCs w:val="24"/>
          <w:lang w:val="es-ES"/>
        </w:rPr>
      </w:pPr>
    </w:p>
    <w:p w14:paraId="530BF27F" w14:textId="1A664127" w:rsidR="003406E6" w:rsidRPr="003013DE" w:rsidRDefault="003406E6" w:rsidP="003406E6">
      <w:pPr>
        <w:rPr>
          <w:rFonts w:ascii="Times New Roman" w:hAnsi="Times New Roman" w:cs="Times New Roman"/>
          <w:b/>
          <w:bCs/>
          <w:sz w:val="24"/>
          <w:szCs w:val="24"/>
          <w:lang w:val="es-ES"/>
        </w:rPr>
      </w:pPr>
    </w:p>
    <w:p w14:paraId="5FDE4557" w14:textId="6D170214" w:rsidR="003013DE" w:rsidRPr="003013DE" w:rsidRDefault="003013DE" w:rsidP="003406E6">
      <w:pPr>
        <w:rPr>
          <w:rFonts w:ascii="Times New Roman" w:hAnsi="Times New Roman" w:cs="Times New Roman"/>
          <w:b/>
          <w:bCs/>
          <w:sz w:val="24"/>
          <w:szCs w:val="24"/>
          <w:lang w:val="es-ES"/>
        </w:rPr>
      </w:pPr>
    </w:p>
    <w:p w14:paraId="26B7B38D" w14:textId="706FEC7B" w:rsidR="003013DE" w:rsidRPr="003013DE" w:rsidRDefault="003013DE" w:rsidP="003406E6">
      <w:pPr>
        <w:rPr>
          <w:rFonts w:ascii="Times New Roman" w:hAnsi="Times New Roman" w:cs="Times New Roman"/>
          <w:b/>
          <w:bCs/>
          <w:sz w:val="24"/>
          <w:szCs w:val="24"/>
          <w:lang w:val="es-ES"/>
        </w:rPr>
      </w:pPr>
    </w:p>
    <w:p w14:paraId="0C62E049" w14:textId="77777777" w:rsidR="003406E6" w:rsidRPr="003013DE" w:rsidRDefault="003406E6" w:rsidP="003406E6">
      <w:pPr>
        <w:rPr>
          <w:rFonts w:ascii="Times New Roman" w:hAnsi="Times New Roman" w:cs="Times New Roman"/>
          <w:b/>
          <w:bCs/>
          <w:sz w:val="24"/>
          <w:szCs w:val="24"/>
          <w:lang w:val="es-ES"/>
        </w:rPr>
      </w:pPr>
    </w:p>
    <w:p w14:paraId="48430472" w14:textId="77777777" w:rsidR="003406E6" w:rsidRPr="003013DE" w:rsidRDefault="003406E6" w:rsidP="003406E6">
      <w:pPr>
        <w:pStyle w:val="Ttulo1"/>
        <w:rPr>
          <w:color w:val="auto"/>
          <w:lang w:val="es-ES"/>
        </w:rPr>
      </w:pPr>
      <w:r w:rsidRPr="003013DE">
        <w:rPr>
          <w:color w:val="auto"/>
          <w:lang w:val="es-ES"/>
        </w:rPr>
        <w:lastRenderedPageBreak/>
        <w:cr/>
      </w:r>
      <w:bookmarkStart w:id="2" w:name="_Toc223177105"/>
      <w:r w:rsidRPr="003013DE">
        <w:rPr>
          <w:color w:val="auto"/>
          <w:lang w:val="es-ES"/>
        </w:rPr>
        <w:t>III. Dedicatoria</w:t>
      </w:r>
      <w:bookmarkEnd w:id="2"/>
    </w:p>
    <w:p w14:paraId="4E0E5E88"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Primeramente, quiero dedicar este triunfo a Dios, mi fuente de sabiduría, fortaleza. Mi guía en cada paso de este camino. Gracias por iluminar mi mente en los momentos de duda, por darme fuerzas cuando el cansancio parecía vencerme y por recordarme siempre que todo es posible cuando se confía en ti. Este logro es reflejo de Tu presencia constante en mi vida.</w:t>
      </w:r>
    </w:p>
    <w:p w14:paraId="184D6E6F"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A mi amado hijo Lucas, quien ha sido y seguirá siendo el motor que impulsa cada uno de mis pasos. Tu existencia da sentido a mis esfuerzos y me inspira a seguir luchando por alcanzar mi sueño de convertirme en médico. Este logro es, por y para él.</w:t>
      </w:r>
    </w:p>
    <w:p w14:paraId="6D9268CB"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A mi esposo, por su paciencia inquebrantable, su amor, su comprensión y su compañía constante en los momentos más desafiantes de este camino. Gracias por ser mi soporte, por creer en mí incluso cuando las fuerzas parecían flaquear, y por compartir conmigo cada sacrificio y cada victoria.</w:t>
      </w:r>
    </w:p>
    <w:p w14:paraId="24CB3719"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A mi abuelita Alicia, que desde el cielo sé que celebra conmigo este triunfo. Gracias, mami, por enseñarme con tu ejemplo el valor de la fortaleza, la humildad y el amor. Tu presencia vive en cada paso que doy y en cada meta que alcanzo.</w:t>
      </w:r>
    </w:p>
    <w:p w14:paraId="230D7D98" w14:textId="77777777" w:rsidR="003406E6" w:rsidRPr="003013DE" w:rsidRDefault="003406E6" w:rsidP="003406E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Por último, dedicó este triunfo mis padres, quienes han sido parte indispensable en todos estos años. Gracias por su apoyo incondicional, por impulsarme siempre a seguir adelante y por sembrar en mí la convicción de que los sueños se alcanzan con esfuerzo, fe y perseverancia.</w:t>
      </w:r>
    </w:p>
    <w:p w14:paraId="5EB1D663" w14:textId="677A748C" w:rsidR="007B051C" w:rsidRPr="003013DE" w:rsidRDefault="007B051C" w:rsidP="008D3069">
      <w:pPr>
        <w:spacing w:line="360" w:lineRule="auto"/>
        <w:jc w:val="center"/>
        <w:rPr>
          <w:rFonts w:ascii="Times New Roman" w:hAnsi="Times New Roman" w:cs="Times New Roman"/>
          <w:sz w:val="24"/>
          <w:szCs w:val="24"/>
        </w:rPr>
      </w:pPr>
    </w:p>
    <w:p w14:paraId="0AC612EC" w14:textId="77777777" w:rsidR="007B051C" w:rsidRPr="003013DE" w:rsidRDefault="007B051C" w:rsidP="008D3069">
      <w:pPr>
        <w:spacing w:line="360" w:lineRule="auto"/>
        <w:jc w:val="center"/>
        <w:rPr>
          <w:rFonts w:ascii="Times New Roman" w:hAnsi="Times New Roman" w:cs="Times New Roman"/>
          <w:b/>
          <w:sz w:val="32"/>
          <w:szCs w:val="32"/>
        </w:rPr>
      </w:pPr>
    </w:p>
    <w:p w14:paraId="3CE7D7E7" w14:textId="77777777" w:rsidR="007B051C" w:rsidRPr="003013DE" w:rsidRDefault="007B051C" w:rsidP="008D3069">
      <w:pPr>
        <w:spacing w:line="360" w:lineRule="auto"/>
        <w:jc w:val="center"/>
        <w:rPr>
          <w:rFonts w:ascii="Times New Roman" w:hAnsi="Times New Roman" w:cs="Times New Roman"/>
          <w:b/>
          <w:sz w:val="32"/>
          <w:szCs w:val="32"/>
        </w:rPr>
      </w:pPr>
    </w:p>
    <w:p w14:paraId="69EC4422" w14:textId="77777777" w:rsidR="007B051C" w:rsidRPr="003013DE" w:rsidRDefault="007B051C" w:rsidP="008D3069">
      <w:pPr>
        <w:spacing w:line="360" w:lineRule="auto"/>
        <w:jc w:val="center"/>
        <w:rPr>
          <w:rFonts w:ascii="Times New Roman" w:hAnsi="Times New Roman" w:cs="Times New Roman"/>
          <w:b/>
          <w:sz w:val="32"/>
          <w:szCs w:val="32"/>
        </w:rPr>
      </w:pPr>
    </w:p>
    <w:p w14:paraId="70AA66EB" w14:textId="763F4F2D" w:rsidR="007B051C" w:rsidRPr="003013DE" w:rsidRDefault="003013DE" w:rsidP="003013DE">
      <w:pPr>
        <w:pStyle w:val="Ttulo1"/>
        <w:rPr>
          <w:rFonts w:cs="Times New Roman"/>
          <w:bCs/>
          <w:color w:val="auto"/>
          <w:szCs w:val="24"/>
        </w:rPr>
      </w:pPr>
      <w:bookmarkStart w:id="3" w:name="_Toc223177106"/>
      <w:r w:rsidRPr="003013DE">
        <w:rPr>
          <w:rFonts w:cs="Times New Roman"/>
          <w:bCs/>
          <w:color w:val="auto"/>
          <w:szCs w:val="24"/>
        </w:rPr>
        <w:lastRenderedPageBreak/>
        <w:t>IV Tabla de contenido</w:t>
      </w:r>
      <w:bookmarkEnd w:id="3"/>
    </w:p>
    <w:sdt>
      <w:sdtPr>
        <w:rPr>
          <w:rFonts w:asciiTheme="minorHAnsi" w:hAnsiTheme="minorHAnsi" w:cstheme="minorBidi"/>
          <w:color w:val="auto"/>
          <w:sz w:val="22"/>
          <w:szCs w:val="22"/>
          <w:lang w:val="es-ES"/>
        </w:rPr>
        <w:id w:val="2015414071"/>
        <w:docPartObj>
          <w:docPartGallery w:val="Table of Contents"/>
          <w:docPartUnique/>
        </w:docPartObj>
      </w:sdtPr>
      <w:sdtEndPr>
        <w:rPr>
          <w:b/>
          <w:bCs/>
        </w:rPr>
      </w:sdtEndPr>
      <w:sdtContent>
        <w:p w14:paraId="7E35784E" w14:textId="71A07C3B" w:rsidR="003406E6" w:rsidRPr="003013DE" w:rsidRDefault="003406E6">
          <w:pPr>
            <w:pStyle w:val="Default"/>
            <w:rPr>
              <w:color w:val="auto"/>
            </w:rPr>
          </w:pPr>
        </w:p>
        <w:p w14:paraId="4F51E728" w14:textId="5DDE4261" w:rsidR="003013DE" w:rsidRPr="003013DE" w:rsidRDefault="003406E6">
          <w:pPr>
            <w:pStyle w:val="TDC1"/>
            <w:tabs>
              <w:tab w:val="right" w:leader="dot" w:pos="8828"/>
            </w:tabs>
            <w:rPr>
              <w:rFonts w:eastAsiaTheme="minorEastAsia"/>
              <w:noProof/>
              <w:lang w:eastAsia="es-CR"/>
            </w:rPr>
          </w:pPr>
          <w:r w:rsidRPr="003013DE">
            <w:fldChar w:fldCharType="begin"/>
          </w:r>
          <w:r w:rsidRPr="003013DE">
            <w:instrText xml:space="preserve"> TOC \o "1-3" \h \z \u </w:instrText>
          </w:r>
          <w:r w:rsidRPr="003013DE">
            <w:fldChar w:fldCharType="separate"/>
          </w:r>
          <w:hyperlink w:anchor="_Toc223177103" w:history="1">
            <w:r w:rsidR="003013DE" w:rsidRPr="003013DE">
              <w:rPr>
                <w:rStyle w:val="Hipervnculo"/>
                <w:rFonts w:ascii="Times New Roman" w:hAnsi="Times New Roman" w:cs="Times New Roman"/>
                <w:noProof/>
                <w:lang w:val="es-ES"/>
              </w:rPr>
              <w:t>I. Resumen</w:t>
            </w:r>
            <w:r w:rsidR="003013DE" w:rsidRPr="003013DE">
              <w:rPr>
                <w:noProof/>
                <w:webHidden/>
              </w:rPr>
              <w:tab/>
            </w:r>
            <w:r w:rsidR="003013DE" w:rsidRPr="003013DE">
              <w:rPr>
                <w:noProof/>
                <w:webHidden/>
              </w:rPr>
              <w:fldChar w:fldCharType="begin"/>
            </w:r>
            <w:r w:rsidR="003013DE" w:rsidRPr="003013DE">
              <w:rPr>
                <w:noProof/>
                <w:webHidden/>
              </w:rPr>
              <w:instrText xml:space="preserve"> PAGEREF _Toc223177103 \h </w:instrText>
            </w:r>
            <w:r w:rsidR="003013DE" w:rsidRPr="003013DE">
              <w:rPr>
                <w:noProof/>
                <w:webHidden/>
              </w:rPr>
            </w:r>
            <w:r w:rsidR="003013DE" w:rsidRPr="003013DE">
              <w:rPr>
                <w:noProof/>
                <w:webHidden/>
              </w:rPr>
              <w:fldChar w:fldCharType="separate"/>
            </w:r>
            <w:r w:rsidR="00F35382">
              <w:rPr>
                <w:noProof/>
                <w:webHidden/>
              </w:rPr>
              <w:t>ii</w:t>
            </w:r>
            <w:r w:rsidR="003013DE" w:rsidRPr="003013DE">
              <w:rPr>
                <w:noProof/>
                <w:webHidden/>
              </w:rPr>
              <w:fldChar w:fldCharType="end"/>
            </w:r>
          </w:hyperlink>
        </w:p>
        <w:p w14:paraId="141DBD01" w14:textId="0E214C3B" w:rsidR="003013DE" w:rsidRPr="003013DE" w:rsidRDefault="003013DE">
          <w:pPr>
            <w:pStyle w:val="TDC1"/>
            <w:tabs>
              <w:tab w:val="right" w:leader="dot" w:pos="8828"/>
            </w:tabs>
            <w:rPr>
              <w:rFonts w:eastAsiaTheme="minorEastAsia"/>
              <w:noProof/>
              <w:lang w:eastAsia="es-CR"/>
            </w:rPr>
          </w:pPr>
          <w:hyperlink w:anchor="_Toc223177104" w:history="1">
            <w:r w:rsidRPr="003013DE">
              <w:rPr>
                <w:rStyle w:val="Hipervnculo"/>
                <w:noProof/>
                <w:lang w:val="es-ES"/>
              </w:rPr>
              <w:t>II. Agradecimientos</w:t>
            </w:r>
            <w:r w:rsidRPr="003013DE">
              <w:rPr>
                <w:noProof/>
                <w:webHidden/>
              </w:rPr>
              <w:tab/>
            </w:r>
            <w:r w:rsidRPr="003013DE">
              <w:rPr>
                <w:noProof/>
                <w:webHidden/>
              </w:rPr>
              <w:fldChar w:fldCharType="begin"/>
            </w:r>
            <w:r w:rsidRPr="003013DE">
              <w:rPr>
                <w:noProof/>
                <w:webHidden/>
              </w:rPr>
              <w:instrText xml:space="preserve"> PAGEREF _Toc223177104 \h </w:instrText>
            </w:r>
            <w:r w:rsidRPr="003013DE">
              <w:rPr>
                <w:noProof/>
                <w:webHidden/>
              </w:rPr>
            </w:r>
            <w:r w:rsidRPr="003013DE">
              <w:rPr>
                <w:noProof/>
                <w:webHidden/>
              </w:rPr>
              <w:fldChar w:fldCharType="separate"/>
            </w:r>
            <w:r w:rsidR="00F35382">
              <w:rPr>
                <w:noProof/>
                <w:webHidden/>
              </w:rPr>
              <w:t>ii</w:t>
            </w:r>
            <w:r w:rsidRPr="003013DE">
              <w:rPr>
                <w:noProof/>
                <w:webHidden/>
              </w:rPr>
              <w:fldChar w:fldCharType="end"/>
            </w:r>
          </w:hyperlink>
        </w:p>
        <w:p w14:paraId="53E8902D" w14:textId="0934E27D" w:rsidR="003013DE" w:rsidRPr="003013DE" w:rsidRDefault="003013DE">
          <w:pPr>
            <w:pStyle w:val="TDC1"/>
            <w:tabs>
              <w:tab w:val="right" w:leader="dot" w:pos="8828"/>
            </w:tabs>
            <w:rPr>
              <w:rFonts w:eastAsiaTheme="minorEastAsia"/>
              <w:noProof/>
              <w:lang w:eastAsia="es-CR"/>
            </w:rPr>
          </w:pPr>
          <w:hyperlink w:anchor="_Toc223177105" w:history="1">
            <w:r w:rsidRPr="003013DE">
              <w:rPr>
                <w:rStyle w:val="Hipervnculo"/>
                <w:noProof/>
                <w:lang w:val="es-ES"/>
              </w:rPr>
              <w:t>III. Dedicatoria</w:t>
            </w:r>
            <w:r w:rsidRPr="003013DE">
              <w:rPr>
                <w:noProof/>
                <w:webHidden/>
              </w:rPr>
              <w:tab/>
            </w:r>
            <w:r w:rsidRPr="003013DE">
              <w:rPr>
                <w:noProof/>
                <w:webHidden/>
              </w:rPr>
              <w:fldChar w:fldCharType="begin"/>
            </w:r>
            <w:r w:rsidRPr="003013DE">
              <w:rPr>
                <w:noProof/>
                <w:webHidden/>
              </w:rPr>
              <w:instrText xml:space="preserve"> PAGEREF _Toc223177105 \h </w:instrText>
            </w:r>
            <w:r w:rsidRPr="003013DE">
              <w:rPr>
                <w:noProof/>
                <w:webHidden/>
              </w:rPr>
            </w:r>
            <w:r w:rsidRPr="003013DE">
              <w:rPr>
                <w:noProof/>
                <w:webHidden/>
              </w:rPr>
              <w:fldChar w:fldCharType="separate"/>
            </w:r>
            <w:r w:rsidR="00F35382">
              <w:rPr>
                <w:noProof/>
                <w:webHidden/>
              </w:rPr>
              <w:t>v</w:t>
            </w:r>
            <w:r w:rsidRPr="003013DE">
              <w:rPr>
                <w:noProof/>
                <w:webHidden/>
              </w:rPr>
              <w:fldChar w:fldCharType="end"/>
            </w:r>
          </w:hyperlink>
        </w:p>
        <w:p w14:paraId="1BEFECC3" w14:textId="02BD849B" w:rsidR="003013DE" w:rsidRPr="003013DE" w:rsidRDefault="003013DE">
          <w:pPr>
            <w:pStyle w:val="TDC1"/>
            <w:tabs>
              <w:tab w:val="right" w:leader="dot" w:pos="8828"/>
            </w:tabs>
            <w:rPr>
              <w:rFonts w:eastAsiaTheme="minorEastAsia"/>
              <w:noProof/>
              <w:lang w:eastAsia="es-CR"/>
            </w:rPr>
          </w:pPr>
          <w:hyperlink w:anchor="_Toc223177106" w:history="1">
            <w:r w:rsidRPr="003013DE">
              <w:rPr>
                <w:rStyle w:val="Hipervnculo"/>
                <w:rFonts w:cs="Times New Roman"/>
                <w:noProof/>
              </w:rPr>
              <w:t>IV Tabla de contenido</w:t>
            </w:r>
            <w:r w:rsidRPr="003013DE">
              <w:rPr>
                <w:noProof/>
                <w:webHidden/>
              </w:rPr>
              <w:tab/>
            </w:r>
            <w:r w:rsidRPr="003013DE">
              <w:rPr>
                <w:noProof/>
                <w:webHidden/>
              </w:rPr>
              <w:fldChar w:fldCharType="begin"/>
            </w:r>
            <w:r w:rsidRPr="003013DE">
              <w:rPr>
                <w:noProof/>
                <w:webHidden/>
              </w:rPr>
              <w:instrText xml:space="preserve"> PAGEREF _Toc223177106 \h </w:instrText>
            </w:r>
            <w:r w:rsidRPr="003013DE">
              <w:rPr>
                <w:noProof/>
                <w:webHidden/>
              </w:rPr>
            </w:r>
            <w:r w:rsidRPr="003013DE">
              <w:rPr>
                <w:noProof/>
                <w:webHidden/>
              </w:rPr>
              <w:fldChar w:fldCharType="separate"/>
            </w:r>
            <w:r w:rsidR="00F35382">
              <w:rPr>
                <w:noProof/>
                <w:webHidden/>
              </w:rPr>
              <w:t>vi</w:t>
            </w:r>
            <w:r w:rsidRPr="003013DE">
              <w:rPr>
                <w:noProof/>
                <w:webHidden/>
              </w:rPr>
              <w:fldChar w:fldCharType="end"/>
            </w:r>
          </w:hyperlink>
        </w:p>
        <w:p w14:paraId="5E5AA338" w14:textId="5BB795E5" w:rsidR="003013DE" w:rsidRPr="003013DE" w:rsidRDefault="003013DE">
          <w:pPr>
            <w:pStyle w:val="TDC1"/>
            <w:tabs>
              <w:tab w:val="right" w:leader="dot" w:pos="8828"/>
            </w:tabs>
            <w:rPr>
              <w:rFonts w:eastAsiaTheme="minorEastAsia"/>
              <w:noProof/>
              <w:lang w:eastAsia="es-CR"/>
            </w:rPr>
          </w:pPr>
          <w:hyperlink w:anchor="_Toc223177107" w:history="1">
            <w:r w:rsidRPr="003013DE">
              <w:rPr>
                <w:rStyle w:val="Hipervnculo"/>
                <w:rFonts w:cs="Times New Roman"/>
                <w:noProof/>
                <w:lang w:val="es-ES"/>
              </w:rPr>
              <w:t>V. Lista de tablas</w:t>
            </w:r>
            <w:r w:rsidRPr="003013DE">
              <w:rPr>
                <w:noProof/>
                <w:webHidden/>
              </w:rPr>
              <w:tab/>
            </w:r>
            <w:r w:rsidRPr="003013DE">
              <w:rPr>
                <w:noProof/>
                <w:webHidden/>
              </w:rPr>
              <w:fldChar w:fldCharType="begin"/>
            </w:r>
            <w:r w:rsidRPr="003013DE">
              <w:rPr>
                <w:noProof/>
                <w:webHidden/>
              </w:rPr>
              <w:instrText xml:space="preserve"> PAGEREF _Toc223177107 \h </w:instrText>
            </w:r>
            <w:r w:rsidRPr="003013DE">
              <w:rPr>
                <w:noProof/>
                <w:webHidden/>
              </w:rPr>
            </w:r>
            <w:r w:rsidRPr="003013DE">
              <w:rPr>
                <w:noProof/>
                <w:webHidden/>
              </w:rPr>
              <w:fldChar w:fldCharType="separate"/>
            </w:r>
            <w:r w:rsidR="00F35382">
              <w:rPr>
                <w:noProof/>
                <w:webHidden/>
              </w:rPr>
              <w:t>xi</w:t>
            </w:r>
            <w:r w:rsidRPr="003013DE">
              <w:rPr>
                <w:noProof/>
                <w:webHidden/>
              </w:rPr>
              <w:fldChar w:fldCharType="end"/>
            </w:r>
          </w:hyperlink>
        </w:p>
        <w:p w14:paraId="563485E4" w14:textId="3771CA22" w:rsidR="003013DE" w:rsidRPr="003013DE" w:rsidRDefault="003013DE">
          <w:pPr>
            <w:pStyle w:val="TDC1"/>
            <w:tabs>
              <w:tab w:val="right" w:leader="dot" w:pos="8828"/>
            </w:tabs>
            <w:rPr>
              <w:rFonts w:eastAsiaTheme="minorEastAsia"/>
              <w:noProof/>
              <w:lang w:eastAsia="es-CR"/>
            </w:rPr>
          </w:pPr>
          <w:hyperlink w:anchor="_Toc223177108" w:history="1">
            <w:r w:rsidRPr="003013DE">
              <w:rPr>
                <w:rStyle w:val="Hipervnculo"/>
                <w:rFonts w:cs="Times New Roman"/>
                <w:noProof/>
                <w:lang w:val="es-ES"/>
              </w:rPr>
              <w:t>VI. Lista de figuras</w:t>
            </w:r>
            <w:r w:rsidRPr="003013DE">
              <w:rPr>
                <w:noProof/>
                <w:webHidden/>
              </w:rPr>
              <w:tab/>
            </w:r>
            <w:r w:rsidRPr="003013DE">
              <w:rPr>
                <w:noProof/>
                <w:webHidden/>
              </w:rPr>
              <w:fldChar w:fldCharType="begin"/>
            </w:r>
            <w:r w:rsidRPr="003013DE">
              <w:rPr>
                <w:noProof/>
                <w:webHidden/>
              </w:rPr>
              <w:instrText xml:space="preserve"> PAGEREF _Toc223177108 \h </w:instrText>
            </w:r>
            <w:r w:rsidRPr="003013DE">
              <w:rPr>
                <w:noProof/>
                <w:webHidden/>
              </w:rPr>
            </w:r>
            <w:r w:rsidRPr="003013DE">
              <w:rPr>
                <w:noProof/>
                <w:webHidden/>
              </w:rPr>
              <w:fldChar w:fldCharType="separate"/>
            </w:r>
            <w:r w:rsidR="00F35382">
              <w:rPr>
                <w:noProof/>
                <w:webHidden/>
              </w:rPr>
              <w:t>xii</w:t>
            </w:r>
            <w:r w:rsidRPr="003013DE">
              <w:rPr>
                <w:noProof/>
                <w:webHidden/>
              </w:rPr>
              <w:fldChar w:fldCharType="end"/>
            </w:r>
          </w:hyperlink>
        </w:p>
        <w:p w14:paraId="380160E8" w14:textId="59A2DD1F" w:rsidR="003013DE" w:rsidRPr="003013DE" w:rsidRDefault="003013DE">
          <w:pPr>
            <w:pStyle w:val="TDC1"/>
            <w:tabs>
              <w:tab w:val="right" w:leader="dot" w:pos="8828"/>
            </w:tabs>
            <w:rPr>
              <w:rFonts w:eastAsiaTheme="minorEastAsia"/>
              <w:noProof/>
              <w:lang w:eastAsia="es-CR"/>
            </w:rPr>
          </w:pPr>
          <w:hyperlink w:anchor="_Toc223177109" w:history="1">
            <w:r w:rsidRPr="003013DE">
              <w:rPr>
                <w:rStyle w:val="Hipervnculo"/>
                <w:rFonts w:cs="Times New Roman"/>
                <w:noProof/>
              </w:rPr>
              <w:t>CAPÍTULO</w:t>
            </w:r>
            <w:r w:rsidRPr="003013DE">
              <w:rPr>
                <w:rStyle w:val="Hipervnculo"/>
                <w:rFonts w:cs="Times New Roman"/>
                <w:noProof/>
                <w:spacing w:val="-1"/>
              </w:rPr>
              <w:t xml:space="preserve"> </w:t>
            </w:r>
            <w:r w:rsidRPr="003013DE">
              <w:rPr>
                <w:rStyle w:val="Hipervnculo"/>
                <w:rFonts w:cs="Times New Roman"/>
                <w:noProof/>
              </w:rPr>
              <w:t>I-</w:t>
            </w:r>
            <w:r w:rsidRPr="003013DE">
              <w:rPr>
                <w:rStyle w:val="Hipervnculo"/>
                <w:rFonts w:cs="Times New Roman"/>
                <w:noProof/>
                <w:spacing w:val="-1"/>
              </w:rPr>
              <w:t xml:space="preserve"> </w:t>
            </w:r>
            <w:r w:rsidRPr="003013DE">
              <w:rPr>
                <w:rStyle w:val="Hipervnculo"/>
                <w:rFonts w:cs="Times New Roman"/>
                <w:noProof/>
                <w:spacing w:val="-2"/>
              </w:rPr>
              <w:t>INTRODUCCIÓN</w:t>
            </w:r>
            <w:r w:rsidRPr="003013DE">
              <w:rPr>
                <w:noProof/>
                <w:webHidden/>
              </w:rPr>
              <w:tab/>
            </w:r>
            <w:r w:rsidRPr="003013DE">
              <w:rPr>
                <w:noProof/>
                <w:webHidden/>
              </w:rPr>
              <w:fldChar w:fldCharType="begin"/>
            </w:r>
            <w:r w:rsidRPr="003013DE">
              <w:rPr>
                <w:noProof/>
                <w:webHidden/>
              </w:rPr>
              <w:instrText xml:space="preserve"> PAGEREF _Toc223177109 \h </w:instrText>
            </w:r>
            <w:r w:rsidRPr="003013DE">
              <w:rPr>
                <w:noProof/>
                <w:webHidden/>
              </w:rPr>
            </w:r>
            <w:r w:rsidRPr="003013DE">
              <w:rPr>
                <w:noProof/>
                <w:webHidden/>
              </w:rPr>
              <w:fldChar w:fldCharType="separate"/>
            </w:r>
            <w:r w:rsidR="00F35382">
              <w:rPr>
                <w:noProof/>
                <w:webHidden/>
              </w:rPr>
              <w:t>15</w:t>
            </w:r>
            <w:r w:rsidRPr="003013DE">
              <w:rPr>
                <w:noProof/>
                <w:webHidden/>
              </w:rPr>
              <w:fldChar w:fldCharType="end"/>
            </w:r>
          </w:hyperlink>
        </w:p>
        <w:p w14:paraId="27EF7F65" w14:textId="0A3A4007" w:rsidR="003013DE" w:rsidRPr="003013DE" w:rsidRDefault="003013DE">
          <w:pPr>
            <w:pStyle w:val="TDC1"/>
            <w:tabs>
              <w:tab w:val="left" w:pos="660"/>
              <w:tab w:val="right" w:leader="dot" w:pos="8828"/>
            </w:tabs>
            <w:rPr>
              <w:rFonts w:eastAsiaTheme="minorEastAsia"/>
              <w:noProof/>
              <w:lang w:eastAsia="es-CR"/>
            </w:rPr>
          </w:pPr>
          <w:hyperlink w:anchor="_Toc223177110" w:history="1">
            <w:r w:rsidRPr="003013DE">
              <w:rPr>
                <w:rStyle w:val="Hipervnculo"/>
                <w:rFonts w:ascii="Times New Roman" w:hAnsi="Times New Roman" w:cs="Times New Roman"/>
                <w:noProof/>
                <w:lang w:val="es-ES"/>
              </w:rPr>
              <w:t>1.1</w:t>
            </w:r>
            <w:r w:rsidRPr="003013DE">
              <w:rPr>
                <w:rFonts w:eastAsiaTheme="minorEastAsia"/>
                <w:noProof/>
                <w:lang w:eastAsia="es-CR"/>
              </w:rPr>
              <w:tab/>
            </w:r>
            <w:r w:rsidRPr="003013DE">
              <w:rPr>
                <w:rStyle w:val="Hipervnculo"/>
                <w:rFonts w:ascii="Times New Roman" w:hAnsi="Times New Roman" w:cs="Times New Roman"/>
                <w:noProof/>
                <w:lang w:val="es-ES"/>
              </w:rPr>
              <w:t>Introducción</w:t>
            </w:r>
            <w:r w:rsidRPr="003013DE">
              <w:rPr>
                <w:noProof/>
                <w:webHidden/>
              </w:rPr>
              <w:tab/>
            </w:r>
            <w:r w:rsidRPr="003013DE">
              <w:rPr>
                <w:noProof/>
                <w:webHidden/>
              </w:rPr>
              <w:fldChar w:fldCharType="begin"/>
            </w:r>
            <w:r w:rsidRPr="003013DE">
              <w:rPr>
                <w:noProof/>
                <w:webHidden/>
              </w:rPr>
              <w:instrText xml:space="preserve"> PAGEREF _Toc223177110 \h </w:instrText>
            </w:r>
            <w:r w:rsidRPr="003013DE">
              <w:rPr>
                <w:noProof/>
                <w:webHidden/>
              </w:rPr>
            </w:r>
            <w:r w:rsidRPr="003013DE">
              <w:rPr>
                <w:noProof/>
                <w:webHidden/>
              </w:rPr>
              <w:fldChar w:fldCharType="separate"/>
            </w:r>
            <w:r w:rsidR="00F35382">
              <w:rPr>
                <w:noProof/>
                <w:webHidden/>
              </w:rPr>
              <w:t>16</w:t>
            </w:r>
            <w:r w:rsidRPr="003013DE">
              <w:rPr>
                <w:noProof/>
                <w:webHidden/>
              </w:rPr>
              <w:fldChar w:fldCharType="end"/>
            </w:r>
          </w:hyperlink>
        </w:p>
        <w:p w14:paraId="29F71ABD" w14:textId="410A42B0" w:rsidR="003013DE" w:rsidRPr="003013DE" w:rsidRDefault="003013DE">
          <w:pPr>
            <w:pStyle w:val="TDC1"/>
            <w:tabs>
              <w:tab w:val="left" w:pos="660"/>
              <w:tab w:val="right" w:leader="dot" w:pos="8828"/>
            </w:tabs>
            <w:rPr>
              <w:rFonts w:eastAsiaTheme="minorEastAsia"/>
              <w:noProof/>
              <w:lang w:eastAsia="es-CR"/>
            </w:rPr>
          </w:pPr>
          <w:hyperlink w:anchor="_Toc223177111" w:history="1">
            <w:r w:rsidRPr="003013DE">
              <w:rPr>
                <w:rStyle w:val="Hipervnculo"/>
                <w:rFonts w:ascii="Times New Roman" w:hAnsi="Times New Roman" w:cs="Times New Roman"/>
                <w:noProof/>
                <w:lang w:val="es-ES"/>
              </w:rPr>
              <w:t>1.2</w:t>
            </w:r>
            <w:r w:rsidRPr="003013DE">
              <w:rPr>
                <w:rFonts w:eastAsiaTheme="minorEastAsia"/>
                <w:noProof/>
                <w:lang w:eastAsia="es-CR"/>
              </w:rPr>
              <w:tab/>
            </w:r>
            <w:r w:rsidRPr="003013DE">
              <w:rPr>
                <w:rStyle w:val="Hipervnculo"/>
                <w:rFonts w:ascii="Times New Roman" w:hAnsi="Times New Roman" w:cs="Times New Roman"/>
                <w:noProof/>
                <w:lang w:val="es-ES"/>
              </w:rPr>
              <w:t>Planteamiento del problema</w:t>
            </w:r>
            <w:r w:rsidRPr="003013DE">
              <w:rPr>
                <w:noProof/>
                <w:webHidden/>
              </w:rPr>
              <w:tab/>
            </w:r>
            <w:r w:rsidRPr="003013DE">
              <w:rPr>
                <w:noProof/>
                <w:webHidden/>
              </w:rPr>
              <w:fldChar w:fldCharType="begin"/>
            </w:r>
            <w:r w:rsidRPr="003013DE">
              <w:rPr>
                <w:noProof/>
                <w:webHidden/>
              </w:rPr>
              <w:instrText xml:space="preserve"> PAGEREF _Toc223177111 \h </w:instrText>
            </w:r>
            <w:r w:rsidRPr="003013DE">
              <w:rPr>
                <w:noProof/>
                <w:webHidden/>
              </w:rPr>
            </w:r>
            <w:r w:rsidRPr="003013DE">
              <w:rPr>
                <w:noProof/>
                <w:webHidden/>
              </w:rPr>
              <w:fldChar w:fldCharType="separate"/>
            </w:r>
            <w:r w:rsidR="00F35382">
              <w:rPr>
                <w:noProof/>
                <w:webHidden/>
              </w:rPr>
              <w:t>18</w:t>
            </w:r>
            <w:r w:rsidRPr="003013DE">
              <w:rPr>
                <w:noProof/>
                <w:webHidden/>
              </w:rPr>
              <w:fldChar w:fldCharType="end"/>
            </w:r>
          </w:hyperlink>
        </w:p>
        <w:p w14:paraId="07C97E5C" w14:textId="2E40589A" w:rsidR="003013DE" w:rsidRPr="003013DE" w:rsidRDefault="003013DE">
          <w:pPr>
            <w:pStyle w:val="TDC1"/>
            <w:tabs>
              <w:tab w:val="left" w:pos="660"/>
              <w:tab w:val="right" w:leader="dot" w:pos="8828"/>
            </w:tabs>
            <w:rPr>
              <w:rFonts w:eastAsiaTheme="minorEastAsia"/>
              <w:noProof/>
              <w:lang w:eastAsia="es-CR"/>
            </w:rPr>
          </w:pPr>
          <w:hyperlink w:anchor="_Toc223177112" w:history="1">
            <w:r w:rsidRPr="003013DE">
              <w:rPr>
                <w:rStyle w:val="Hipervnculo"/>
                <w:rFonts w:cs="Times New Roman"/>
                <w:noProof/>
                <w:lang w:val="es-ES"/>
              </w:rPr>
              <w:t>1.3</w:t>
            </w:r>
            <w:r w:rsidRPr="003013DE">
              <w:rPr>
                <w:rFonts w:eastAsiaTheme="minorEastAsia"/>
                <w:noProof/>
                <w:lang w:eastAsia="es-CR"/>
              </w:rPr>
              <w:tab/>
            </w:r>
            <w:r w:rsidRPr="003013DE">
              <w:rPr>
                <w:rStyle w:val="Hipervnculo"/>
                <w:rFonts w:cs="Times New Roman"/>
                <w:noProof/>
                <w:lang w:val="es-ES"/>
              </w:rPr>
              <w:t>Objetivos</w:t>
            </w:r>
            <w:r w:rsidRPr="003013DE">
              <w:rPr>
                <w:noProof/>
                <w:webHidden/>
              </w:rPr>
              <w:tab/>
            </w:r>
            <w:r w:rsidRPr="003013DE">
              <w:rPr>
                <w:noProof/>
                <w:webHidden/>
              </w:rPr>
              <w:fldChar w:fldCharType="begin"/>
            </w:r>
            <w:r w:rsidRPr="003013DE">
              <w:rPr>
                <w:noProof/>
                <w:webHidden/>
              </w:rPr>
              <w:instrText xml:space="preserve"> PAGEREF _Toc223177112 \h </w:instrText>
            </w:r>
            <w:r w:rsidRPr="003013DE">
              <w:rPr>
                <w:noProof/>
                <w:webHidden/>
              </w:rPr>
            </w:r>
            <w:r w:rsidRPr="003013DE">
              <w:rPr>
                <w:noProof/>
                <w:webHidden/>
              </w:rPr>
              <w:fldChar w:fldCharType="separate"/>
            </w:r>
            <w:r w:rsidR="00F35382">
              <w:rPr>
                <w:noProof/>
                <w:webHidden/>
              </w:rPr>
              <w:t>19</w:t>
            </w:r>
            <w:r w:rsidRPr="003013DE">
              <w:rPr>
                <w:noProof/>
                <w:webHidden/>
              </w:rPr>
              <w:fldChar w:fldCharType="end"/>
            </w:r>
          </w:hyperlink>
        </w:p>
        <w:p w14:paraId="58013DA7" w14:textId="445C3348" w:rsidR="003013DE" w:rsidRPr="003013DE" w:rsidRDefault="003013DE">
          <w:pPr>
            <w:pStyle w:val="TDC1"/>
            <w:tabs>
              <w:tab w:val="left" w:pos="880"/>
              <w:tab w:val="right" w:leader="dot" w:pos="8828"/>
            </w:tabs>
            <w:rPr>
              <w:rFonts w:eastAsiaTheme="minorEastAsia"/>
              <w:noProof/>
              <w:lang w:eastAsia="es-CR"/>
            </w:rPr>
          </w:pPr>
          <w:hyperlink w:anchor="_Toc223177113" w:history="1">
            <w:r w:rsidRPr="003013DE">
              <w:rPr>
                <w:rStyle w:val="Hipervnculo"/>
                <w:rFonts w:cs="Times New Roman"/>
                <w:noProof/>
                <w:lang w:val="es-ES"/>
              </w:rPr>
              <w:t>1.3.1</w:t>
            </w:r>
            <w:r w:rsidRPr="003013DE">
              <w:rPr>
                <w:rFonts w:eastAsiaTheme="minorEastAsia"/>
                <w:noProof/>
                <w:lang w:eastAsia="es-CR"/>
              </w:rPr>
              <w:tab/>
            </w:r>
            <w:r w:rsidRPr="003013DE">
              <w:rPr>
                <w:rStyle w:val="Hipervnculo"/>
                <w:rFonts w:cs="Times New Roman"/>
                <w:noProof/>
                <w:lang w:val="es-ES"/>
              </w:rPr>
              <w:t>Objetivo general</w:t>
            </w:r>
            <w:r w:rsidRPr="003013DE">
              <w:rPr>
                <w:noProof/>
                <w:webHidden/>
              </w:rPr>
              <w:tab/>
            </w:r>
            <w:r w:rsidRPr="003013DE">
              <w:rPr>
                <w:noProof/>
                <w:webHidden/>
              </w:rPr>
              <w:fldChar w:fldCharType="begin"/>
            </w:r>
            <w:r w:rsidRPr="003013DE">
              <w:rPr>
                <w:noProof/>
                <w:webHidden/>
              </w:rPr>
              <w:instrText xml:space="preserve"> PAGEREF _Toc223177113 \h </w:instrText>
            </w:r>
            <w:r w:rsidRPr="003013DE">
              <w:rPr>
                <w:noProof/>
                <w:webHidden/>
              </w:rPr>
            </w:r>
            <w:r w:rsidRPr="003013DE">
              <w:rPr>
                <w:noProof/>
                <w:webHidden/>
              </w:rPr>
              <w:fldChar w:fldCharType="separate"/>
            </w:r>
            <w:r w:rsidR="00F35382">
              <w:rPr>
                <w:noProof/>
                <w:webHidden/>
              </w:rPr>
              <w:t>19</w:t>
            </w:r>
            <w:r w:rsidRPr="003013DE">
              <w:rPr>
                <w:noProof/>
                <w:webHidden/>
              </w:rPr>
              <w:fldChar w:fldCharType="end"/>
            </w:r>
          </w:hyperlink>
        </w:p>
        <w:p w14:paraId="42A70C48" w14:textId="3DBBE4B1" w:rsidR="003013DE" w:rsidRPr="003013DE" w:rsidRDefault="003013DE">
          <w:pPr>
            <w:pStyle w:val="TDC2"/>
            <w:tabs>
              <w:tab w:val="right" w:leader="dot" w:pos="8828"/>
            </w:tabs>
            <w:rPr>
              <w:rFonts w:eastAsiaTheme="minorEastAsia"/>
              <w:noProof/>
              <w:lang w:eastAsia="es-CR"/>
            </w:rPr>
          </w:pPr>
          <w:hyperlink w:anchor="_Toc223177114" w:history="1">
            <w:r w:rsidRPr="003013DE">
              <w:rPr>
                <w:rStyle w:val="Hipervnculo"/>
                <w:rFonts w:ascii="Times New Roman" w:hAnsi="Times New Roman" w:cs="Times New Roman"/>
                <w:noProof/>
                <w:lang w:val="es-ES"/>
              </w:rPr>
              <w:t>1.3.1 Objetivos específicos</w:t>
            </w:r>
            <w:r w:rsidRPr="003013DE">
              <w:rPr>
                <w:noProof/>
                <w:webHidden/>
              </w:rPr>
              <w:tab/>
            </w:r>
            <w:r w:rsidRPr="003013DE">
              <w:rPr>
                <w:noProof/>
                <w:webHidden/>
              </w:rPr>
              <w:fldChar w:fldCharType="begin"/>
            </w:r>
            <w:r w:rsidRPr="003013DE">
              <w:rPr>
                <w:noProof/>
                <w:webHidden/>
              </w:rPr>
              <w:instrText xml:space="preserve"> PAGEREF _Toc223177114 \h </w:instrText>
            </w:r>
            <w:r w:rsidRPr="003013DE">
              <w:rPr>
                <w:noProof/>
                <w:webHidden/>
              </w:rPr>
            </w:r>
            <w:r w:rsidRPr="003013DE">
              <w:rPr>
                <w:noProof/>
                <w:webHidden/>
              </w:rPr>
              <w:fldChar w:fldCharType="separate"/>
            </w:r>
            <w:r w:rsidR="00F35382">
              <w:rPr>
                <w:noProof/>
                <w:webHidden/>
              </w:rPr>
              <w:t>19</w:t>
            </w:r>
            <w:r w:rsidRPr="003013DE">
              <w:rPr>
                <w:noProof/>
                <w:webHidden/>
              </w:rPr>
              <w:fldChar w:fldCharType="end"/>
            </w:r>
          </w:hyperlink>
        </w:p>
        <w:p w14:paraId="1D8EED1E" w14:textId="1BEA6138" w:rsidR="003013DE" w:rsidRPr="003013DE" w:rsidRDefault="003013DE">
          <w:pPr>
            <w:pStyle w:val="TDC1"/>
            <w:tabs>
              <w:tab w:val="left" w:pos="660"/>
              <w:tab w:val="right" w:leader="dot" w:pos="8828"/>
            </w:tabs>
            <w:rPr>
              <w:rFonts w:eastAsiaTheme="minorEastAsia"/>
              <w:noProof/>
              <w:lang w:eastAsia="es-CR"/>
            </w:rPr>
          </w:pPr>
          <w:hyperlink w:anchor="_Toc223177115" w:history="1">
            <w:r w:rsidRPr="003013DE">
              <w:rPr>
                <w:rStyle w:val="Hipervnculo"/>
                <w:rFonts w:ascii="Times New Roman" w:eastAsia="Times New Roman" w:hAnsi="Times New Roman" w:cs="Times New Roman"/>
                <w:noProof/>
                <w:lang w:val="es-ES"/>
              </w:rPr>
              <w:t>1.4</w:t>
            </w:r>
            <w:r w:rsidRPr="003013DE">
              <w:rPr>
                <w:rFonts w:eastAsiaTheme="minorEastAsia"/>
                <w:noProof/>
                <w:lang w:eastAsia="es-CR"/>
              </w:rPr>
              <w:tab/>
            </w:r>
            <w:r w:rsidRPr="003013DE">
              <w:rPr>
                <w:rStyle w:val="Hipervnculo"/>
                <w:rFonts w:ascii="Times New Roman" w:hAnsi="Times New Roman" w:cs="Times New Roman"/>
                <w:noProof/>
                <w:lang w:val="es-ES"/>
              </w:rPr>
              <w:t>Justificación</w:t>
            </w:r>
            <w:r w:rsidRPr="003013DE">
              <w:rPr>
                <w:noProof/>
                <w:webHidden/>
              </w:rPr>
              <w:tab/>
            </w:r>
            <w:r w:rsidRPr="003013DE">
              <w:rPr>
                <w:noProof/>
                <w:webHidden/>
              </w:rPr>
              <w:fldChar w:fldCharType="begin"/>
            </w:r>
            <w:r w:rsidRPr="003013DE">
              <w:rPr>
                <w:noProof/>
                <w:webHidden/>
              </w:rPr>
              <w:instrText xml:space="preserve"> PAGEREF _Toc223177115 \h </w:instrText>
            </w:r>
            <w:r w:rsidRPr="003013DE">
              <w:rPr>
                <w:noProof/>
                <w:webHidden/>
              </w:rPr>
            </w:r>
            <w:r w:rsidRPr="003013DE">
              <w:rPr>
                <w:noProof/>
                <w:webHidden/>
              </w:rPr>
              <w:fldChar w:fldCharType="separate"/>
            </w:r>
            <w:r w:rsidR="00F35382">
              <w:rPr>
                <w:noProof/>
                <w:webHidden/>
              </w:rPr>
              <w:t>20</w:t>
            </w:r>
            <w:r w:rsidRPr="003013DE">
              <w:rPr>
                <w:noProof/>
                <w:webHidden/>
              </w:rPr>
              <w:fldChar w:fldCharType="end"/>
            </w:r>
          </w:hyperlink>
        </w:p>
        <w:p w14:paraId="0F2B4BE7" w14:textId="68F3B62A" w:rsidR="003013DE" w:rsidRPr="003013DE" w:rsidRDefault="003013DE">
          <w:pPr>
            <w:pStyle w:val="TDC1"/>
            <w:tabs>
              <w:tab w:val="left" w:pos="660"/>
              <w:tab w:val="right" w:leader="dot" w:pos="8828"/>
            </w:tabs>
            <w:rPr>
              <w:rFonts w:eastAsiaTheme="minorEastAsia"/>
              <w:noProof/>
              <w:lang w:eastAsia="es-CR"/>
            </w:rPr>
          </w:pPr>
          <w:hyperlink w:anchor="_Toc223177116" w:history="1">
            <w:r w:rsidRPr="003013DE">
              <w:rPr>
                <w:rStyle w:val="Hipervnculo"/>
                <w:rFonts w:eastAsia="Times New Roman" w:cs="Times New Roman"/>
                <w:noProof/>
                <w:lang w:val="es-ES"/>
              </w:rPr>
              <w:t>1.5</w:t>
            </w:r>
            <w:r w:rsidRPr="003013DE">
              <w:rPr>
                <w:rFonts w:eastAsiaTheme="minorEastAsia"/>
                <w:noProof/>
                <w:lang w:eastAsia="es-CR"/>
              </w:rPr>
              <w:tab/>
            </w:r>
            <w:r w:rsidRPr="003013DE">
              <w:rPr>
                <w:rStyle w:val="Hipervnculo"/>
                <w:rFonts w:cs="Times New Roman"/>
                <w:noProof/>
                <w:lang w:val="es-ES"/>
              </w:rPr>
              <w:t>Antecedentes</w:t>
            </w:r>
            <w:r w:rsidRPr="003013DE">
              <w:rPr>
                <w:noProof/>
                <w:webHidden/>
              </w:rPr>
              <w:tab/>
            </w:r>
            <w:r w:rsidRPr="003013DE">
              <w:rPr>
                <w:noProof/>
                <w:webHidden/>
              </w:rPr>
              <w:fldChar w:fldCharType="begin"/>
            </w:r>
            <w:r w:rsidRPr="003013DE">
              <w:rPr>
                <w:noProof/>
                <w:webHidden/>
              </w:rPr>
              <w:instrText xml:space="preserve"> PAGEREF _Toc223177116 \h </w:instrText>
            </w:r>
            <w:r w:rsidRPr="003013DE">
              <w:rPr>
                <w:noProof/>
                <w:webHidden/>
              </w:rPr>
            </w:r>
            <w:r w:rsidRPr="003013DE">
              <w:rPr>
                <w:noProof/>
                <w:webHidden/>
              </w:rPr>
              <w:fldChar w:fldCharType="separate"/>
            </w:r>
            <w:r w:rsidR="00F35382">
              <w:rPr>
                <w:noProof/>
                <w:webHidden/>
              </w:rPr>
              <w:t>23</w:t>
            </w:r>
            <w:r w:rsidRPr="003013DE">
              <w:rPr>
                <w:noProof/>
                <w:webHidden/>
              </w:rPr>
              <w:fldChar w:fldCharType="end"/>
            </w:r>
          </w:hyperlink>
        </w:p>
        <w:p w14:paraId="0B0B92A5" w14:textId="68829902" w:rsidR="003013DE" w:rsidRPr="003013DE" w:rsidRDefault="003013DE">
          <w:pPr>
            <w:pStyle w:val="TDC2"/>
            <w:tabs>
              <w:tab w:val="right" w:leader="dot" w:pos="8828"/>
            </w:tabs>
            <w:rPr>
              <w:rFonts w:eastAsiaTheme="minorEastAsia"/>
              <w:noProof/>
              <w:lang w:eastAsia="es-CR"/>
            </w:rPr>
          </w:pPr>
          <w:hyperlink w:anchor="_Toc223177117" w:history="1">
            <w:r w:rsidRPr="003013DE">
              <w:rPr>
                <w:rStyle w:val="Hipervnculo"/>
                <w:rFonts w:ascii="Times New Roman" w:hAnsi="Times New Roman" w:cs="Times New Roman"/>
                <w:noProof/>
                <w:lang w:val="es-ES"/>
              </w:rPr>
              <w:t>1.5.1 Antecedentes históricos</w:t>
            </w:r>
            <w:r w:rsidRPr="003013DE">
              <w:rPr>
                <w:noProof/>
                <w:webHidden/>
              </w:rPr>
              <w:tab/>
            </w:r>
            <w:r w:rsidRPr="003013DE">
              <w:rPr>
                <w:noProof/>
                <w:webHidden/>
              </w:rPr>
              <w:fldChar w:fldCharType="begin"/>
            </w:r>
            <w:r w:rsidRPr="003013DE">
              <w:rPr>
                <w:noProof/>
                <w:webHidden/>
              </w:rPr>
              <w:instrText xml:space="preserve"> PAGEREF _Toc223177117 \h </w:instrText>
            </w:r>
            <w:r w:rsidRPr="003013DE">
              <w:rPr>
                <w:noProof/>
                <w:webHidden/>
              </w:rPr>
            </w:r>
            <w:r w:rsidRPr="003013DE">
              <w:rPr>
                <w:noProof/>
                <w:webHidden/>
              </w:rPr>
              <w:fldChar w:fldCharType="separate"/>
            </w:r>
            <w:r w:rsidR="00F35382">
              <w:rPr>
                <w:noProof/>
                <w:webHidden/>
              </w:rPr>
              <w:t>23</w:t>
            </w:r>
            <w:r w:rsidRPr="003013DE">
              <w:rPr>
                <w:noProof/>
                <w:webHidden/>
              </w:rPr>
              <w:fldChar w:fldCharType="end"/>
            </w:r>
          </w:hyperlink>
        </w:p>
        <w:p w14:paraId="5605807C" w14:textId="0750CA35" w:rsidR="003013DE" w:rsidRPr="003013DE" w:rsidRDefault="003013DE">
          <w:pPr>
            <w:pStyle w:val="TDC2"/>
            <w:tabs>
              <w:tab w:val="right" w:leader="dot" w:pos="8828"/>
            </w:tabs>
            <w:rPr>
              <w:rFonts w:eastAsiaTheme="minorEastAsia"/>
              <w:noProof/>
              <w:lang w:eastAsia="es-CR"/>
            </w:rPr>
          </w:pPr>
          <w:hyperlink w:anchor="_Toc223177118" w:history="1">
            <w:r w:rsidRPr="003013DE">
              <w:rPr>
                <w:rStyle w:val="Hipervnculo"/>
                <w:rFonts w:ascii="Times New Roman" w:hAnsi="Times New Roman" w:cs="Times New Roman"/>
                <w:noProof/>
                <w:lang w:val="es-ES"/>
              </w:rPr>
              <w:t>1.5.2 Antecedentes internacionales</w:t>
            </w:r>
            <w:r w:rsidRPr="003013DE">
              <w:rPr>
                <w:noProof/>
                <w:webHidden/>
              </w:rPr>
              <w:tab/>
            </w:r>
            <w:r w:rsidRPr="003013DE">
              <w:rPr>
                <w:noProof/>
                <w:webHidden/>
              </w:rPr>
              <w:fldChar w:fldCharType="begin"/>
            </w:r>
            <w:r w:rsidRPr="003013DE">
              <w:rPr>
                <w:noProof/>
                <w:webHidden/>
              </w:rPr>
              <w:instrText xml:space="preserve"> PAGEREF _Toc223177118 \h </w:instrText>
            </w:r>
            <w:r w:rsidRPr="003013DE">
              <w:rPr>
                <w:noProof/>
                <w:webHidden/>
              </w:rPr>
            </w:r>
            <w:r w:rsidRPr="003013DE">
              <w:rPr>
                <w:noProof/>
                <w:webHidden/>
              </w:rPr>
              <w:fldChar w:fldCharType="separate"/>
            </w:r>
            <w:r w:rsidR="00F35382">
              <w:rPr>
                <w:noProof/>
                <w:webHidden/>
              </w:rPr>
              <w:t>25</w:t>
            </w:r>
            <w:r w:rsidRPr="003013DE">
              <w:rPr>
                <w:noProof/>
                <w:webHidden/>
              </w:rPr>
              <w:fldChar w:fldCharType="end"/>
            </w:r>
          </w:hyperlink>
        </w:p>
        <w:p w14:paraId="2C1EE5E5" w14:textId="1C8DFA3A" w:rsidR="003013DE" w:rsidRPr="003013DE" w:rsidRDefault="003013DE">
          <w:pPr>
            <w:pStyle w:val="TDC2"/>
            <w:tabs>
              <w:tab w:val="right" w:leader="dot" w:pos="8828"/>
            </w:tabs>
            <w:rPr>
              <w:rFonts w:eastAsiaTheme="minorEastAsia"/>
              <w:noProof/>
              <w:lang w:eastAsia="es-CR"/>
            </w:rPr>
          </w:pPr>
          <w:hyperlink w:anchor="_Toc223177119" w:history="1">
            <w:r w:rsidRPr="003013DE">
              <w:rPr>
                <w:rStyle w:val="Hipervnculo"/>
                <w:rFonts w:ascii="Times New Roman" w:hAnsi="Times New Roman" w:cs="Times New Roman"/>
                <w:noProof/>
                <w:lang w:val="es-ES"/>
              </w:rPr>
              <w:t>1.5.3 Antecedentes nacionales</w:t>
            </w:r>
            <w:r w:rsidRPr="003013DE">
              <w:rPr>
                <w:noProof/>
                <w:webHidden/>
              </w:rPr>
              <w:tab/>
            </w:r>
            <w:r w:rsidRPr="003013DE">
              <w:rPr>
                <w:noProof/>
                <w:webHidden/>
              </w:rPr>
              <w:fldChar w:fldCharType="begin"/>
            </w:r>
            <w:r w:rsidRPr="003013DE">
              <w:rPr>
                <w:noProof/>
                <w:webHidden/>
              </w:rPr>
              <w:instrText xml:space="preserve"> PAGEREF _Toc223177119 \h </w:instrText>
            </w:r>
            <w:r w:rsidRPr="003013DE">
              <w:rPr>
                <w:noProof/>
                <w:webHidden/>
              </w:rPr>
            </w:r>
            <w:r w:rsidRPr="003013DE">
              <w:rPr>
                <w:noProof/>
                <w:webHidden/>
              </w:rPr>
              <w:fldChar w:fldCharType="separate"/>
            </w:r>
            <w:r w:rsidR="00F35382">
              <w:rPr>
                <w:noProof/>
                <w:webHidden/>
              </w:rPr>
              <w:t>29</w:t>
            </w:r>
            <w:r w:rsidRPr="003013DE">
              <w:rPr>
                <w:noProof/>
                <w:webHidden/>
              </w:rPr>
              <w:fldChar w:fldCharType="end"/>
            </w:r>
          </w:hyperlink>
        </w:p>
        <w:p w14:paraId="38665BA8" w14:textId="64DE0718" w:rsidR="003013DE" w:rsidRPr="003013DE" w:rsidRDefault="003013DE">
          <w:pPr>
            <w:pStyle w:val="TDC1"/>
            <w:tabs>
              <w:tab w:val="right" w:leader="dot" w:pos="8828"/>
            </w:tabs>
            <w:rPr>
              <w:rFonts w:eastAsiaTheme="minorEastAsia"/>
              <w:noProof/>
              <w:lang w:eastAsia="es-CR"/>
            </w:rPr>
          </w:pPr>
          <w:hyperlink w:anchor="_Toc223177120" w:history="1">
            <w:r w:rsidRPr="003013DE">
              <w:rPr>
                <w:rStyle w:val="Hipervnculo"/>
                <w:rFonts w:cs="Times New Roman"/>
                <w:noProof/>
              </w:rPr>
              <w:t>CAPÍTULO</w:t>
            </w:r>
            <w:r w:rsidRPr="003013DE">
              <w:rPr>
                <w:rStyle w:val="Hipervnculo"/>
                <w:rFonts w:cs="Times New Roman"/>
                <w:noProof/>
                <w:spacing w:val="-1"/>
              </w:rPr>
              <w:t xml:space="preserve"> </w:t>
            </w:r>
            <w:r w:rsidRPr="003013DE">
              <w:rPr>
                <w:rStyle w:val="Hipervnculo"/>
                <w:rFonts w:cs="Times New Roman"/>
                <w:noProof/>
              </w:rPr>
              <w:t>II-</w:t>
            </w:r>
            <w:r w:rsidRPr="003013DE">
              <w:rPr>
                <w:rStyle w:val="Hipervnculo"/>
                <w:rFonts w:cs="Times New Roman"/>
                <w:noProof/>
                <w:spacing w:val="-1"/>
              </w:rPr>
              <w:t xml:space="preserve"> </w:t>
            </w:r>
            <w:r w:rsidRPr="003013DE">
              <w:rPr>
                <w:rStyle w:val="Hipervnculo"/>
                <w:rFonts w:cs="Times New Roman"/>
                <w:noProof/>
                <w:spacing w:val="-2"/>
              </w:rPr>
              <w:t>MARCO TEÓRICO</w:t>
            </w:r>
            <w:r w:rsidRPr="003013DE">
              <w:rPr>
                <w:noProof/>
                <w:webHidden/>
              </w:rPr>
              <w:tab/>
            </w:r>
            <w:r w:rsidRPr="003013DE">
              <w:rPr>
                <w:noProof/>
                <w:webHidden/>
              </w:rPr>
              <w:fldChar w:fldCharType="begin"/>
            </w:r>
            <w:r w:rsidRPr="003013DE">
              <w:rPr>
                <w:noProof/>
                <w:webHidden/>
              </w:rPr>
              <w:instrText xml:space="preserve"> PAGEREF _Toc223177120 \h </w:instrText>
            </w:r>
            <w:r w:rsidRPr="003013DE">
              <w:rPr>
                <w:noProof/>
                <w:webHidden/>
              </w:rPr>
            </w:r>
            <w:r w:rsidRPr="003013DE">
              <w:rPr>
                <w:noProof/>
                <w:webHidden/>
              </w:rPr>
              <w:fldChar w:fldCharType="separate"/>
            </w:r>
            <w:r w:rsidR="00F35382">
              <w:rPr>
                <w:noProof/>
                <w:webHidden/>
              </w:rPr>
              <w:t>33</w:t>
            </w:r>
            <w:r w:rsidRPr="003013DE">
              <w:rPr>
                <w:noProof/>
                <w:webHidden/>
              </w:rPr>
              <w:fldChar w:fldCharType="end"/>
            </w:r>
          </w:hyperlink>
        </w:p>
        <w:p w14:paraId="49D71139" w14:textId="3AB683E5" w:rsidR="003013DE" w:rsidRPr="003013DE" w:rsidRDefault="003013DE">
          <w:pPr>
            <w:pStyle w:val="TDC1"/>
            <w:tabs>
              <w:tab w:val="right" w:leader="dot" w:pos="8828"/>
            </w:tabs>
            <w:rPr>
              <w:rFonts w:eastAsiaTheme="minorEastAsia"/>
              <w:noProof/>
              <w:lang w:eastAsia="es-CR"/>
            </w:rPr>
          </w:pPr>
          <w:hyperlink w:anchor="_Toc223177121" w:history="1">
            <w:r w:rsidRPr="003013DE">
              <w:rPr>
                <w:rStyle w:val="Hipervnculo"/>
                <w:rFonts w:cs="Times New Roman"/>
                <w:noProof/>
              </w:rPr>
              <w:t>2.1. Conceptualización del microbiota intestinal</w:t>
            </w:r>
            <w:r w:rsidRPr="003013DE">
              <w:rPr>
                <w:noProof/>
                <w:webHidden/>
              </w:rPr>
              <w:tab/>
            </w:r>
            <w:r w:rsidRPr="003013DE">
              <w:rPr>
                <w:noProof/>
                <w:webHidden/>
              </w:rPr>
              <w:fldChar w:fldCharType="begin"/>
            </w:r>
            <w:r w:rsidRPr="003013DE">
              <w:rPr>
                <w:noProof/>
                <w:webHidden/>
              </w:rPr>
              <w:instrText xml:space="preserve"> PAGEREF _Toc223177121 \h </w:instrText>
            </w:r>
            <w:r w:rsidRPr="003013DE">
              <w:rPr>
                <w:noProof/>
                <w:webHidden/>
              </w:rPr>
            </w:r>
            <w:r w:rsidRPr="003013DE">
              <w:rPr>
                <w:noProof/>
                <w:webHidden/>
              </w:rPr>
              <w:fldChar w:fldCharType="separate"/>
            </w:r>
            <w:r w:rsidR="00F35382">
              <w:rPr>
                <w:noProof/>
                <w:webHidden/>
              </w:rPr>
              <w:t>34</w:t>
            </w:r>
            <w:r w:rsidRPr="003013DE">
              <w:rPr>
                <w:noProof/>
                <w:webHidden/>
              </w:rPr>
              <w:fldChar w:fldCharType="end"/>
            </w:r>
          </w:hyperlink>
        </w:p>
        <w:p w14:paraId="5ABCA5B3" w14:textId="0D99E0FB" w:rsidR="003013DE" w:rsidRPr="003013DE" w:rsidRDefault="003013DE">
          <w:pPr>
            <w:pStyle w:val="TDC2"/>
            <w:tabs>
              <w:tab w:val="right" w:leader="dot" w:pos="8828"/>
            </w:tabs>
            <w:rPr>
              <w:rFonts w:eastAsiaTheme="minorEastAsia"/>
              <w:noProof/>
              <w:lang w:eastAsia="es-CR"/>
            </w:rPr>
          </w:pPr>
          <w:hyperlink w:anchor="_Toc223177122" w:history="1">
            <w:r w:rsidRPr="003013DE">
              <w:rPr>
                <w:rStyle w:val="Hipervnculo"/>
                <w:rFonts w:ascii="Times New Roman" w:hAnsi="Times New Roman" w:cs="Times New Roman"/>
                <w:noProof/>
              </w:rPr>
              <w:t>2.1.1 Composición del microbiota intestinal</w:t>
            </w:r>
            <w:r w:rsidRPr="003013DE">
              <w:rPr>
                <w:noProof/>
                <w:webHidden/>
              </w:rPr>
              <w:tab/>
            </w:r>
            <w:r w:rsidRPr="003013DE">
              <w:rPr>
                <w:noProof/>
                <w:webHidden/>
              </w:rPr>
              <w:fldChar w:fldCharType="begin"/>
            </w:r>
            <w:r w:rsidRPr="003013DE">
              <w:rPr>
                <w:noProof/>
                <w:webHidden/>
              </w:rPr>
              <w:instrText xml:space="preserve"> PAGEREF _Toc223177122 \h </w:instrText>
            </w:r>
            <w:r w:rsidRPr="003013DE">
              <w:rPr>
                <w:noProof/>
                <w:webHidden/>
              </w:rPr>
            </w:r>
            <w:r w:rsidRPr="003013DE">
              <w:rPr>
                <w:noProof/>
                <w:webHidden/>
              </w:rPr>
              <w:fldChar w:fldCharType="separate"/>
            </w:r>
            <w:r w:rsidR="00F35382">
              <w:rPr>
                <w:noProof/>
                <w:webHidden/>
              </w:rPr>
              <w:t>35</w:t>
            </w:r>
            <w:r w:rsidRPr="003013DE">
              <w:rPr>
                <w:noProof/>
                <w:webHidden/>
              </w:rPr>
              <w:fldChar w:fldCharType="end"/>
            </w:r>
          </w:hyperlink>
        </w:p>
        <w:p w14:paraId="122DB6BF" w14:textId="5FB9EFD2" w:rsidR="003013DE" w:rsidRPr="003013DE" w:rsidRDefault="003013DE">
          <w:pPr>
            <w:pStyle w:val="TDC2"/>
            <w:tabs>
              <w:tab w:val="right" w:leader="dot" w:pos="8828"/>
            </w:tabs>
            <w:rPr>
              <w:rFonts w:eastAsiaTheme="minorEastAsia"/>
              <w:noProof/>
              <w:lang w:eastAsia="es-CR"/>
            </w:rPr>
          </w:pPr>
          <w:hyperlink w:anchor="_Toc223177123" w:history="1">
            <w:r w:rsidRPr="003013DE">
              <w:rPr>
                <w:rStyle w:val="Hipervnculo"/>
                <w:rFonts w:ascii="Times New Roman" w:hAnsi="Times New Roman" w:cs="Times New Roman"/>
                <w:noProof/>
              </w:rPr>
              <w:t>2.1.2 Funciones básicas del microbiota intestinal</w:t>
            </w:r>
            <w:r w:rsidRPr="003013DE">
              <w:rPr>
                <w:noProof/>
                <w:webHidden/>
              </w:rPr>
              <w:tab/>
            </w:r>
            <w:r w:rsidRPr="003013DE">
              <w:rPr>
                <w:noProof/>
                <w:webHidden/>
              </w:rPr>
              <w:fldChar w:fldCharType="begin"/>
            </w:r>
            <w:r w:rsidRPr="003013DE">
              <w:rPr>
                <w:noProof/>
                <w:webHidden/>
              </w:rPr>
              <w:instrText xml:space="preserve"> PAGEREF _Toc223177123 \h </w:instrText>
            </w:r>
            <w:r w:rsidRPr="003013DE">
              <w:rPr>
                <w:noProof/>
                <w:webHidden/>
              </w:rPr>
            </w:r>
            <w:r w:rsidRPr="003013DE">
              <w:rPr>
                <w:noProof/>
                <w:webHidden/>
              </w:rPr>
              <w:fldChar w:fldCharType="separate"/>
            </w:r>
            <w:r w:rsidR="00F35382">
              <w:rPr>
                <w:noProof/>
                <w:webHidden/>
              </w:rPr>
              <w:t>35</w:t>
            </w:r>
            <w:r w:rsidRPr="003013DE">
              <w:rPr>
                <w:noProof/>
                <w:webHidden/>
              </w:rPr>
              <w:fldChar w:fldCharType="end"/>
            </w:r>
          </w:hyperlink>
        </w:p>
        <w:p w14:paraId="7EC87461" w14:textId="4E11F14C" w:rsidR="003013DE" w:rsidRPr="003013DE" w:rsidRDefault="003013DE">
          <w:pPr>
            <w:pStyle w:val="TDC3"/>
            <w:rPr>
              <w:rFonts w:eastAsiaTheme="minorEastAsia"/>
              <w:noProof/>
              <w:lang w:eastAsia="es-CR"/>
            </w:rPr>
          </w:pPr>
          <w:hyperlink w:anchor="_Toc223177124" w:history="1">
            <w:r w:rsidRPr="003013DE">
              <w:rPr>
                <w:rStyle w:val="Hipervnculo"/>
                <w:rFonts w:ascii="Times New Roman" w:hAnsi="Times New Roman" w:cs="Times New Roman"/>
                <w:noProof/>
              </w:rPr>
              <w:t>2.1.2.1 Funciones metabólicas</w:t>
            </w:r>
            <w:r w:rsidRPr="003013DE">
              <w:rPr>
                <w:noProof/>
                <w:webHidden/>
              </w:rPr>
              <w:tab/>
            </w:r>
            <w:r w:rsidRPr="003013DE">
              <w:rPr>
                <w:noProof/>
                <w:webHidden/>
              </w:rPr>
              <w:fldChar w:fldCharType="begin"/>
            </w:r>
            <w:r w:rsidRPr="003013DE">
              <w:rPr>
                <w:noProof/>
                <w:webHidden/>
              </w:rPr>
              <w:instrText xml:space="preserve"> PAGEREF _Toc223177124 \h </w:instrText>
            </w:r>
            <w:r w:rsidRPr="003013DE">
              <w:rPr>
                <w:noProof/>
                <w:webHidden/>
              </w:rPr>
            </w:r>
            <w:r w:rsidRPr="003013DE">
              <w:rPr>
                <w:noProof/>
                <w:webHidden/>
              </w:rPr>
              <w:fldChar w:fldCharType="separate"/>
            </w:r>
            <w:r w:rsidR="00F35382">
              <w:rPr>
                <w:noProof/>
                <w:webHidden/>
              </w:rPr>
              <w:t>35</w:t>
            </w:r>
            <w:r w:rsidRPr="003013DE">
              <w:rPr>
                <w:noProof/>
                <w:webHidden/>
              </w:rPr>
              <w:fldChar w:fldCharType="end"/>
            </w:r>
          </w:hyperlink>
        </w:p>
        <w:p w14:paraId="6B25B9E0" w14:textId="671CE284" w:rsidR="003013DE" w:rsidRPr="003013DE" w:rsidRDefault="003013DE">
          <w:pPr>
            <w:pStyle w:val="TDC3"/>
            <w:rPr>
              <w:rFonts w:eastAsiaTheme="minorEastAsia"/>
              <w:noProof/>
              <w:lang w:eastAsia="es-CR"/>
            </w:rPr>
          </w:pPr>
          <w:hyperlink w:anchor="_Toc223177125" w:history="1">
            <w:r w:rsidRPr="003013DE">
              <w:rPr>
                <w:rStyle w:val="Hipervnculo"/>
                <w:rFonts w:ascii="Times New Roman" w:hAnsi="Times New Roman" w:cs="Times New Roman"/>
                <w:noProof/>
              </w:rPr>
              <w:t>2.1.2.2 Funciones inmunológicas</w:t>
            </w:r>
            <w:r w:rsidRPr="003013DE">
              <w:rPr>
                <w:noProof/>
                <w:webHidden/>
              </w:rPr>
              <w:tab/>
            </w:r>
            <w:r w:rsidRPr="003013DE">
              <w:rPr>
                <w:noProof/>
                <w:webHidden/>
              </w:rPr>
              <w:fldChar w:fldCharType="begin"/>
            </w:r>
            <w:r w:rsidRPr="003013DE">
              <w:rPr>
                <w:noProof/>
                <w:webHidden/>
              </w:rPr>
              <w:instrText xml:space="preserve"> PAGEREF _Toc223177125 \h </w:instrText>
            </w:r>
            <w:r w:rsidRPr="003013DE">
              <w:rPr>
                <w:noProof/>
                <w:webHidden/>
              </w:rPr>
            </w:r>
            <w:r w:rsidRPr="003013DE">
              <w:rPr>
                <w:noProof/>
                <w:webHidden/>
              </w:rPr>
              <w:fldChar w:fldCharType="separate"/>
            </w:r>
            <w:r w:rsidR="00F35382">
              <w:rPr>
                <w:noProof/>
                <w:webHidden/>
              </w:rPr>
              <w:t>36</w:t>
            </w:r>
            <w:r w:rsidRPr="003013DE">
              <w:rPr>
                <w:noProof/>
                <w:webHidden/>
              </w:rPr>
              <w:fldChar w:fldCharType="end"/>
            </w:r>
          </w:hyperlink>
        </w:p>
        <w:p w14:paraId="2158C455" w14:textId="35DD5C20" w:rsidR="003013DE" w:rsidRPr="003013DE" w:rsidRDefault="003013DE">
          <w:pPr>
            <w:pStyle w:val="TDC3"/>
            <w:rPr>
              <w:rFonts w:eastAsiaTheme="minorEastAsia"/>
              <w:noProof/>
              <w:lang w:eastAsia="es-CR"/>
            </w:rPr>
          </w:pPr>
          <w:hyperlink w:anchor="_Toc223177126" w:history="1">
            <w:r w:rsidRPr="003013DE">
              <w:rPr>
                <w:rStyle w:val="Hipervnculo"/>
                <w:rFonts w:ascii="Times New Roman" w:hAnsi="Times New Roman" w:cs="Times New Roman"/>
                <w:noProof/>
              </w:rPr>
              <w:t>2.1.2.3 Funciones neurológicas y eje microbiota-intestino-cerebro</w:t>
            </w:r>
            <w:r w:rsidRPr="003013DE">
              <w:rPr>
                <w:noProof/>
                <w:webHidden/>
              </w:rPr>
              <w:tab/>
            </w:r>
            <w:r w:rsidRPr="003013DE">
              <w:rPr>
                <w:noProof/>
                <w:webHidden/>
              </w:rPr>
              <w:fldChar w:fldCharType="begin"/>
            </w:r>
            <w:r w:rsidRPr="003013DE">
              <w:rPr>
                <w:noProof/>
                <w:webHidden/>
              </w:rPr>
              <w:instrText xml:space="preserve"> PAGEREF _Toc223177126 \h </w:instrText>
            </w:r>
            <w:r w:rsidRPr="003013DE">
              <w:rPr>
                <w:noProof/>
                <w:webHidden/>
              </w:rPr>
            </w:r>
            <w:r w:rsidRPr="003013DE">
              <w:rPr>
                <w:noProof/>
                <w:webHidden/>
              </w:rPr>
              <w:fldChar w:fldCharType="separate"/>
            </w:r>
            <w:r w:rsidR="00F35382">
              <w:rPr>
                <w:noProof/>
                <w:webHidden/>
              </w:rPr>
              <w:t>37</w:t>
            </w:r>
            <w:r w:rsidRPr="003013DE">
              <w:rPr>
                <w:noProof/>
                <w:webHidden/>
              </w:rPr>
              <w:fldChar w:fldCharType="end"/>
            </w:r>
          </w:hyperlink>
        </w:p>
        <w:p w14:paraId="6570B164" w14:textId="6799F81D" w:rsidR="003013DE" w:rsidRPr="003013DE" w:rsidRDefault="003013DE">
          <w:pPr>
            <w:pStyle w:val="TDC1"/>
            <w:tabs>
              <w:tab w:val="right" w:leader="dot" w:pos="8828"/>
            </w:tabs>
            <w:rPr>
              <w:rFonts w:eastAsiaTheme="minorEastAsia"/>
              <w:noProof/>
              <w:lang w:eastAsia="es-CR"/>
            </w:rPr>
          </w:pPr>
          <w:hyperlink w:anchor="_Toc223177127" w:history="1">
            <w:r w:rsidRPr="003013DE">
              <w:rPr>
                <w:rStyle w:val="Hipervnculo"/>
                <w:rFonts w:cs="Times New Roman"/>
                <w:noProof/>
              </w:rPr>
              <w:t>2.2. Desarrollo y dinámica del microbioma humano a lo largo del ciclo vital</w:t>
            </w:r>
            <w:r w:rsidRPr="003013DE">
              <w:rPr>
                <w:noProof/>
                <w:webHidden/>
              </w:rPr>
              <w:tab/>
            </w:r>
            <w:r w:rsidRPr="003013DE">
              <w:rPr>
                <w:noProof/>
                <w:webHidden/>
              </w:rPr>
              <w:fldChar w:fldCharType="begin"/>
            </w:r>
            <w:r w:rsidRPr="003013DE">
              <w:rPr>
                <w:noProof/>
                <w:webHidden/>
              </w:rPr>
              <w:instrText xml:space="preserve"> PAGEREF _Toc223177127 \h </w:instrText>
            </w:r>
            <w:r w:rsidRPr="003013DE">
              <w:rPr>
                <w:noProof/>
                <w:webHidden/>
              </w:rPr>
            </w:r>
            <w:r w:rsidRPr="003013DE">
              <w:rPr>
                <w:noProof/>
                <w:webHidden/>
              </w:rPr>
              <w:fldChar w:fldCharType="separate"/>
            </w:r>
            <w:r w:rsidR="00F35382">
              <w:rPr>
                <w:noProof/>
                <w:webHidden/>
              </w:rPr>
              <w:t>37</w:t>
            </w:r>
            <w:r w:rsidRPr="003013DE">
              <w:rPr>
                <w:noProof/>
                <w:webHidden/>
              </w:rPr>
              <w:fldChar w:fldCharType="end"/>
            </w:r>
          </w:hyperlink>
        </w:p>
        <w:p w14:paraId="2F52323B" w14:textId="0A23D227" w:rsidR="003013DE" w:rsidRPr="003013DE" w:rsidRDefault="003013DE">
          <w:pPr>
            <w:pStyle w:val="TDC2"/>
            <w:tabs>
              <w:tab w:val="right" w:leader="dot" w:pos="8828"/>
            </w:tabs>
            <w:rPr>
              <w:rFonts w:eastAsiaTheme="minorEastAsia"/>
              <w:noProof/>
              <w:lang w:eastAsia="es-CR"/>
            </w:rPr>
          </w:pPr>
          <w:hyperlink w:anchor="_Toc223177128" w:history="1">
            <w:r w:rsidRPr="003013DE">
              <w:rPr>
                <w:rStyle w:val="Hipervnculo"/>
                <w:rFonts w:ascii="Times New Roman" w:hAnsi="Times New Roman" w:cs="Times New Roman"/>
                <w:noProof/>
              </w:rPr>
              <w:t>2.2.1 Desarrollo y maduración del microbiota en la infancia y niñez</w:t>
            </w:r>
            <w:r w:rsidRPr="003013DE">
              <w:rPr>
                <w:noProof/>
                <w:webHidden/>
              </w:rPr>
              <w:tab/>
            </w:r>
            <w:r w:rsidRPr="003013DE">
              <w:rPr>
                <w:noProof/>
                <w:webHidden/>
              </w:rPr>
              <w:fldChar w:fldCharType="begin"/>
            </w:r>
            <w:r w:rsidRPr="003013DE">
              <w:rPr>
                <w:noProof/>
                <w:webHidden/>
              </w:rPr>
              <w:instrText xml:space="preserve"> PAGEREF _Toc223177128 \h </w:instrText>
            </w:r>
            <w:r w:rsidRPr="003013DE">
              <w:rPr>
                <w:noProof/>
                <w:webHidden/>
              </w:rPr>
            </w:r>
            <w:r w:rsidRPr="003013DE">
              <w:rPr>
                <w:noProof/>
                <w:webHidden/>
              </w:rPr>
              <w:fldChar w:fldCharType="separate"/>
            </w:r>
            <w:r w:rsidR="00F35382">
              <w:rPr>
                <w:noProof/>
                <w:webHidden/>
              </w:rPr>
              <w:t>38</w:t>
            </w:r>
            <w:r w:rsidRPr="003013DE">
              <w:rPr>
                <w:noProof/>
                <w:webHidden/>
              </w:rPr>
              <w:fldChar w:fldCharType="end"/>
            </w:r>
          </w:hyperlink>
        </w:p>
        <w:p w14:paraId="7F5DC04B" w14:textId="499C565E" w:rsidR="003013DE" w:rsidRPr="003013DE" w:rsidRDefault="003013DE">
          <w:pPr>
            <w:pStyle w:val="TDC3"/>
            <w:rPr>
              <w:rFonts w:eastAsiaTheme="minorEastAsia"/>
              <w:noProof/>
              <w:lang w:eastAsia="es-CR"/>
            </w:rPr>
          </w:pPr>
          <w:hyperlink w:anchor="_Toc223177129" w:history="1">
            <w:r w:rsidRPr="003013DE">
              <w:rPr>
                <w:rStyle w:val="Hipervnculo"/>
                <w:rFonts w:ascii="Times New Roman" w:hAnsi="Times New Roman" w:cs="Times New Roman"/>
                <w:noProof/>
              </w:rPr>
              <w:t>2.2.3 Cambios del microbiota durante el envejecimiento y la vejez</w:t>
            </w:r>
            <w:r w:rsidRPr="003013DE">
              <w:rPr>
                <w:noProof/>
                <w:webHidden/>
              </w:rPr>
              <w:tab/>
            </w:r>
            <w:r w:rsidRPr="003013DE">
              <w:rPr>
                <w:noProof/>
                <w:webHidden/>
              </w:rPr>
              <w:fldChar w:fldCharType="begin"/>
            </w:r>
            <w:r w:rsidRPr="003013DE">
              <w:rPr>
                <w:noProof/>
                <w:webHidden/>
              </w:rPr>
              <w:instrText xml:space="preserve"> PAGEREF _Toc223177129 \h </w:instrText>
            </w:r>
            <w:r w:rsidRPr="003013DE">
              <w:rPr>
                <w:noProof/>
                <w:webHidden/>
              </w:rPr>
            </w:r>
            <w:r w:rsidRPr="003013DE">
              <w:rPr>
                <w:noProof/>
                <w:webHidden/>
              </w:rPr>
              <w:fldChar w:fldCharType="separate"/>
            </w:r>
            <w:r w:rsidR="00F35382">
              <w:rPr>
                <w:noProof/>
                <w:webHidden/>
              </w:rPr>
              <w:t>39</w:t>
            </w:r>
            <w:r w:rsidRPr="003013DE">
              <w:rPr>
                <w:noProof/>
                <w:webHidden/>
              </w:rPr>
              <w:fldChar w:fldCharType="end"/>
            </w:r>
          </w:hyperlink>
        </w:p>
        <w:p w14:paraId="4AA70CA9" w14:textId="57A432B3" w:rsidR="003013DE" w:rsidRPr="003013DE" w:rsidRDefault="003013DE">
          <w:pPr>
            <w:pStyle w:val="TDC2"/>
            <w:tabs>
              <w:tab w:val="right" w:leader="dot" w:pos="8828"/>
            </w:tabs>
            <w:rPr>
              <w:rFonts w:eastAsiaTheme="minorEastAsia"/>
              <w:noProof/>
              <w:lang w:eastAsia="es-CR"/>
            </w:rPr>
          </w:pPr>
          <w:hyperlink w:anchor="_Toc223177130" w:history="1">
            <w:r w:rsidRPr="003013DE">
              <w:rPr>
                <w:rStyle w:val="Hipervnculo"/>
                <w:rFonts w:ascii="Times New Roman" w:hAnsi="Times New Roman" w:cs="Times New Roman"/>
                <w:noProof/>
              </w:rPr>
              <w:t>2.3. Eje intestino–cerebro: comunicación bidireccional</w:t>
            </w:r>
            <w:r w:rsidRPr="003013DE">
              <w:rPr>
                <w:noProof/>
                <w:webHidden/>
              </w:rPr>
              <w:tab/>
            </w:r>
            <w:r w:rsidRPr="003013DE">
              <w:rPr>
                <w:noProof/>
                <w:webHidden/>
              </w:rPr>
              <w:fldChar w:fldCharType="begin"/>
            </w:r>
            <w:r w:rsidRPr="003013DE">
              <w:rPr>
                <w:noProof/>
                <w:webHidden/>
              </w:rPr>
              <w:instrText xml:space="preserve"> PAGEREF _Toc223177130 \h </w:instrText>
            </w:r>
            <w:r w:rsidRPr="003013DE">
              <w:rPr>
                <w:noProof/>
                <w:webHidden/>
              </w:rPr>
            </w:r>
            <w:r w:rsidRPr="003013DE">
              <w:rPr>
                <w:noProof/>
                <w:webHidden/>
              </w:rPr>
              <w:fldChar w:fldCharType="separate"/>
            </w:r>
            <w:r w:rsidR="00F35382">
              <w:rPr>
                <w:noProof/>
                <w:webHidden/>
              </w:rPr>
              <w:t>40</w:t>
            </w:r>
            <w:r w:rsidRPr="003013DE">
              <w:rPr>
                <w:noProof/>
                <w:webHidden/>
              </w:rPr>
              <w:fldChar w:fldCharType="end"/>
            </w:r>
          </w:hyperlink>
        </w:p>
        <w:p w14:paraId="059D7C5A" w14:textId="320EDEAB" w:rsidR="003013DE" w:rsidRPr="003013DE" w:rsidRDefault="003013DE">
          <w:pPr>
            <w:pStyle w:val="TDC3"/>
            <w:rPr>
              <w:rFonts w:eastAsiaTheme="minorEastAsia"/>
              <w:noProof/>
              <w:lang w:eastAsia="es-CR"/>
            </w:rPr>
          </w:pPr>
          <w:hyperlink w:anchor="_Toc223177131" w:history="1">
            <w:r w:rsidRPr="003013DE">
              <w:rPr>
                <w:rStyle w:val="Hipervnculo"/>
                <w:rFonts w:ascii="Times New Roman" w:hAnsi="Times New Roman" w:cs="Times New Roman"/>
                <w:noProof/>
              </w:rPr>
              <w:t>2.3.1 Sistema nervioso central (SNC) en el eje intestino–cerebro</w:t>
            </w:r>
            <w:r w:rsidRPr="003013DE">
              <w:rPr>
                <w:noProof/>
                <w:webHidden/>
              </w:rPr>
              <w:tab/>
            </w:r>
            <w:r w:rsidRPr="003013DE">
              <w:rPr>
                <w:noProof/>
                <w:webHidden/>
              </w:rPr>
              <w:fldChar w:fldCharType="begin"/>
            </w:r>
            <w:r w:rsidRPr="003013DE">
              <w:rPr>
                <w:noProof/>
                <w:webHidden/>
              </w:rPr>
              <w:instrText xml:space="preserve"> PAGEREF _Toc223177131 \h </w:instrText>
            </w:r>
            <w:r w:rsidRPr="003013DE">
              <w:rPr>
                <w:noProof/>
                <w:webHidden/>
              </w:rPr>
            </w:r>
            <w:r w:rsidRPr="003013DE">
              <w:rPr>
                <w:noProof/>
                <w:webHidden/>
              </w:rPr>
              <w:fldChar w:fldCharType="separate"/>
            </w:r>
            <w:r w:rsidR="00F35382">
              <w:rPr>
                <w:noProof/>
                <w:webHidden/>
              </w:rPr>
              <w:t>41</w:t>
            </w:r>
            <w:r w:rsidRPr="003013DE">
              <w:rPr>
                <w:noProof/>
                <w:webHidden/>
              </w:rPr>
              <w:fldChar w:fldCharType="end"/>
            </w:r>
          </w:hyperlink>
        </w:p>
        <w:p w14:paraId="05B82AB7" w14:textId="154CCDB8" w:rsidR="003013DE" w:rsidRPr="003013DE" w:rsidRDefault="003013DE">
          <w:pPr>
            <w:pStyle w:val="TDC3"/>
            <w:rPr>
              <w:rFonts w:eastAsiaTheme="minorEastAsia"/>
              <w:noProof/>
              <w:lang w:eastAsia="es-CR"/>
            </w:rPr>
          </w:pPr>
          <w:hyperlink w:anchor="_Toc223177132" w:history="1">
            <w:r w:rsidRPr="003013DE">
              <w:rPr>
                <w:rStyle w:val="Hipervnculo"/>
                <w:rFonts w:ascii="Times New Roman" w:hAnsi="Times New Roman" w:cs="Times New Roman"/>
                <w:noProof/>
              </w:rPr>
              <w:t>2.3.2 Sistema nervioso entérico (SNE)</w:t>
            </w:r>
            <w:r w:rsidRPr="003013DE">
              <w:rPr>
                <w:noProof/>
                <w:webHidden/>
              </w:rPr>
              <w:tab/>
            </w:r>
            <w:r w:rsidRPr="003013DE">
              <w:rPr>
                <w:noProof/>
                <w:webHidden/>
              </w:rPr>
              <w:fldChar w:fldCharType="begin"/>
            </w:r>
            <w:r w:rsidRPr="003013DE">
              <w:rPr>
                <w:noProof/>
                <w:webHidden/>
              </w:rPr>
              <w:instrText xml:space="preserve"> PAGEREF _Toc223177132 \h </w:instrText>
            </w:r>
            <w:r w:rsidRPr="003013DE">
              <w:rPr>
                <w:noProof/>
                <w:webHidden/>
              </w:rPr>
            </w:r>
            <w:r w:rsidRPr="003013DE">
              <w:rPr>
                <w:noProof/>
                <w:webHidden/>
              </w:rPr>
              <w:fldChar w:fldCharType="separate"/>
            </w:r>
            <w:r w:rsidR="00F35382">
              <w:rPr>
                <w:noProof/>
                <w:webHidden/>
              </w:rPr>
              <w:t>42</w:t>
            </w:r>
            <w:r w:rsidRPr="003013DE">
              <w:rPr>
                <w:noProof/>
                <w:webHidden/>
              </w:rPr>
              <w:fldChar w:fldCharType="end"/>
            </w:r>
          </w:hyperlink>
        </w:p>
        <w:p w14:paraId="054B73CB" w14:textId="52A20003" w:rsidR="003013DE" w:rsidRPr="003013DE" w:rsidRDefault="003013DE">
          <w:pPr>
            <w:pStyle w:val="TDC3"/>
            <w:rPr>
              <w:rFonts w:eastAsiaTheme="minorEastAsia"/>
              <w:noProof/>
              <w:lang w:eastAsia="es-CR"/>
            </w:rPr>
          </w:pPr>
          <w:hyperlink w:anchor="_Toc223177133" w:history="1">
            <w:r w:rsidRPr="003013DE">
              <w:rPr>
                <w:rStyle w:val="Hipervnculo"/>
                <w:rFonts w:ascii="Times New Roman" w:hAnsi="Times New Roman" w:cs="Times New Roman"/>
                <w:noProof/>
              </w:rPr>
              <w:t>2.3.3 Sistema nervioso autónomo y nervio vago</w:t>
            </w:r>
            <w:r w:rsidRPr="003013DE">
              <w:rPr>
                <w:noProof/>
                <w:webHidden/>
              </w:rPr>
              <w:tab/>
            </w:r>
            <w:r w:rsidRPr="003013DE">
              <w:rPr>
                <w:noProof/>
                <w:webHidden/>
              </w:rPr>
              <w:fldChar w:fldCharType="begin"/>
            </w:r>
            <w:r w:rsidRPr="003013DE">
              <w:rPr>
                <w:noProof/>
                <w:webHidden/>
              </w:rPr>
              <w:instrText xml:space="preserve"> PAGEREF _Toc223177133 \h </w:instrText>
            </w:r>
            <w:r w:rsidRPr="003013DE">
              <w:rPr>
                <w:noProof/>
                <w:webHidden/>
              </w:rPr>
            </w:r>
            <w:r w:rsidRPr="003013DE">
              <w:rPr>
                <w:noProof/>
                <w:webHidden/>
              </w:rPr>
              <w:fldChar w:fldCharType="separate"/>
            </w:r>
            <w:r w:rsidR="00F35382">
              <w:rPr>
                <w:noProof/>
                <w:webHidden/>
              </w:rPr>
              <w:t>43</w:t>
            </w:r>
            <w:r w:rsidRPr="003013DE">
              <w:rPr>
                <w:noProof/>
                <w:webHidden/>
              </w:rPr>
              <w:fldChar w:fldCharType="end"/>
            </w:r>
          </w:hyperlink>
        </w:p>
        <w:p w14:paraId="3AA5E6E6" w14:textId="651745C4" w:rsidR="003013DE" w:rsidRPr="003013DE" w:rsidRDefault="003013DE">
          <w:pPr>
            <w:pStyle w:val="TDC2"/>
            <w:tabs>
              <w:tab w:val="right" w:leader="dot" w:pos="8828"/>
            </w:tabs>
            <w:rPr>
              <w:rFonts w:eastAsiaTheme="minorEastAsia"/>
              <w:noProof/>
              <w:lang w:eastAsia="es-CR"/>
            </w:rPr>
          </w:pPr>
          <w:hyperlink w:anchor="_Toc223177134" w:history="1">
            <w:r w:rsidRPr="003013DE">
              <w:rPr>
                <w:rStyle w:val="Hipervnculo"/>
                <w:rFonts w:ascii="Times New Roman" w:hAnsi="Times New Roman" w:cs="Times New Roman"/>
                <w:noProof/>
              </w:rPr>
              <w:t>2.3.4 Sistema inmunológico como mediador del eje intestino–cerebro</w:t>
            </w:r>
            <w:r w:rsidRPr="003013DE">
              <w:rPr>
                <w:noProof/>
                <w:webHidden/>
              </w:rPr>
              <w:tab/>
            </w:r>
            <w:r w:rsidRPr="003013DE">
              <w:rPr>
                <w:noProof/>
                <w:webHidden/>
              </w:rPr>
              <w:fldChar w:fldCharType="begin"/>
            </w:r>
            <w:r w:rsidRPr="003013DE">
              <w:rPr>
                <w:noProof/>
                <w:webHidden/>
              </w:rPr>
              <w:instrText xml:space="preserve"> PAGEREF _Toc223177134 \h </w:instrText>
            </w:r>
            <w:r w:rsidRPr="003013DE">
              <w:rPr>
                <w:noProof/>
                <w:webHidden/>
              </w:rPr>
            </w:r>
            <w:r w:rsidRPr="003013DE">
              <w:rPr>
                <w:noProof/>
                <w:webHidden/>
              </w:rPr>
              <w:fldChar w:fldCharType="separate"/>
            </w:r>
            <w:r w:rsidR="00F35382">
              <w:rPr>
                <w:noProof/>
                <w:webHidden/>
              </w:rPr>
              <w:t>43</w:t>
            </w:r>
            <w:r w:rsidRPr="003013DE">
              <w:rPr>
                <w:noProof/>
                <w:webHidden/>
              </w:rPr>
              <w:fldChar w:fldCharType="end"/>
            </w:r>
          </w:hyperlink>
        </w:p>
        <w:p w14:paraId="0997C938" w14:textId="4A4A290B" w:rsidR="003013DE" w:rsidRPr="003013DE" w:rsidRDefault="003013DE">
          <w:pPr>
            <w:pStyle w:val="TDC2"/>
            <w:tabs>
              <w:tab w:val="right" w:leader="dot" w:pos="8828"/>
            </w:tabs>
            <w:rPr>
              <w:rFonts w:eastAsiaTheme="minorEastAsia"/>
              <w:noProof/>
              <w:lang w:eastAsia="es-CR"/>
            </w:rPr>
          </w:pPr>
          <w:hyperlink w:anchor="_Toc223177135" w:history="1">
            <w:r w:rsidRPr="003013DE">
              <w:rPr>
                <w:rStyle w:val="Hipervnculo"/>
                <w:rFonts w:ascii="Times New Roman" w:hAnsi="Times New Roman" w:cs="Times New Roman"/>
                <w:noProof/>
              </w:rPr>
              <w:t>2.3.5 Rol de la microbiota intestinal en la comunicación bidireccional</w:t>
            </w:r>
            <w:r w:rsidRPr="003013DE">
              <w:rPr>
                <w:noProof/>
                <w:webHidden/>
              </w:rPr>
              <w:tab/>
            </w:r>
            <w:r w:rsidRPr="003013DE">
              <w:rPr>
                <w:noProof/>
                <w:webHidden/>
              </w:rPr>
              <w:fldChar w:fldCharType="begin"/>
            </w:r>
            <w:r w:rsidRPr="003013DE">
              <w:rPr>
                <w:noProof/>
                <w:webHidden/>
              </w:rPr>
              <w:instrText xml:space="preserve"> PAGEREF _Toc223177135 \h </w:instrText>
            </w:r>
            <w:r w:rsidRPr="003013DE">
              <w:rPr>
                <w:noProof/>
                <w:webHidden/>
              </w:rPr>
            </w:r>
            <w:r w:rsidRPr="003013DE">
              <w:rPr>
                <w:noProof/>
                <w:webHidden/>
              </w:rPr>
              <w:fldChar w:fldCharType="separate"/>
            </w:r>
            <w:r w:rsidR="00F35382">
              <w:rPr>
                <w:noProof/>
                <w:webHidden/>
              </w:rPr>
              <w:t>44</w:t>
            </w:r>
            <w:r w:rsidRPr="003013DE">
              <w:rPr>
                <w:noProof/>
                <w:webHidden/>
              </w:rPr>
              <w:fldChar w:fldCharType="end"/>
            </w:r>
          </w:hyperlink>
        </w:p>
        <w:p w14:paraId="1F0F1DA5" w14:textId="3F7A120E" w:rsidR="003013DE" w:rsidRPr="003013DE" w:rsidRDefault="003013DE">
          <w:pPr>
            <w:pStyle w:val="TDC3"/>
            <w:rPr>
              <w:rFonts w:eastAsiaTheme="minorEastAsia"/>
              <w:noProof/>
              <w:lang w:eastAsia="es-CR"/>
            </w:rPr>
          </w:pPr>
          <w:hyperlink w:anchor="_Toc223177136" w:history="1">
            <w:r w:rsidRPr="003013DE">
              <w:rPr>
                <w:rStyle w:val="Hipervnculo"/>
                <w:rFonts w:ascii="Times New Roman" w:hAnsi="Times New Roman" w:cs="Times New Roman"/>
                <w:noProof/>
              </w:rPr>
              <w:t>2.3.6 Vías endocrinas y eje hipotálamo–hipófisis–adrenal</w:t>
            </w:r>
            <w:r w:rsidRPr="003013DE">
              <w:rPr>
                <w:noProof/>
                <w:webHidden/>
              </w:rPr>
              <w:tab/>
            </w:r>
            <w:r w:rsidRPr="003013DE">
              <w:rPr>
                <w:noProof/>
                <w:webHidden/>
              </w:rPr>
              <w:fldChar w:fldCharType="begin"/>
            </w:r>
            <w:r w:rsidRPr="003013DE">
              <w:rPr>
                <w:noProof/>
                <w:webHidden/>
              </w:rPr>
              <w:instrText xml:space="preserve"> PAGEREF _Toc223177136 \h </w:instrText>
            </w:r>
            <w:r w:rsidRPr="003013DE">
              <w:rPr>
                <w:noProof/>
                <w:webHidden/>
              </w:rPr>
            </w:r>
            <w:r w:rsidRPr="003013DE">
              <w:rPr>
                <w:noProof/>
                <w:webHidden/>
              </w:rPr>
              <w:fldChar w:fldCharType="separate"/>
            </w:r>
            <w:r w:rsidR="00F35382">
              <w:rPr>
                <w:noProof/>
                <w:webHidden/>
              </w:rPr>
              <w:t>44</w:t>
            </w:r>
            <w:r w:rsidRPr="003013DE">
              <w:rPr>
                <w:noProof/>
                <w:webHidden/>
              </w:rPr>
              <w:fldChar w:fldCharType="end"/>
            </w:r>
          </w:hyperlink>
        </w:p>
        <w:p w14:paraId="21F1148A" w14:textId="0C58DA03" w:rsidR="003013DE" w:rsidRPr="003013DE" w:rsidRDefault="003013DE">
          <w:pPr>
            <w:pStyle w:val="TDC3"/>
            <w:rPr>
              <w:rFonts w:eastAsiaTheme="minorEastAsia"/>
              <w:noProof/>
              <w:lang w:eastAsia="es-CR"/>
            </w:rPr>
          </w:pPr>
          <w:hyperlink w:anchor="_Toc223177137" w:history="1">
            <w:r w:rsidRPr="003013DE">
              <w:rPr>
                <w:rStyle w:val="Hipervnculo"/>
                <w:rFonts w:ascii="Times New Roman" w:hAnsi="Times New Roman" w:cs="Times New Roman"/>
                <w:noProof/>
              </w:rPr>
              <w:t>2.3.7 Implicaciones fisiológicas y patológicas del eje intestino–cerebro</w:t>
            </w:r>
            <w:r w:rsidRPr="003013DE">
              <w:rPr>
                <w:noProof/>
                <w:webHidden/>
              </w:rPr>
              <w:tab/>
            </w:r>
            <w:r w:rsidRPr="003013DE">
              <w:rPr>
                <w:noProof/>
                <w:webHidden/>
              </w:rPr>
              <w:fldChar w:fldCharType="begin"/>
            </w:r>
            <w:r w:rsidRPr="003013DE">
              <w:rPr>
                <w:noProof/>
                <w:webHidden/>
              </w:rPr>
              <w:instrText xml:space="preserve"> PAGEREF _Toc223177137 \h </w:instrText>
            </w:r>
            <w:r w:rsidRPr="003013DE">
              <w:rPr>
                <w:noProof/>
                <w:webHidden/>
              </w:rPr>
            </w:r>
            <w:r w:rsidRPr="003013DE">
              <w:rPr>
                <w:noProof/>
                <w:webHidden/>
              </w:rPr>
              <w:fldChar w:fldCharType="separate"/>
            </w:r>
            <w:r w:rsidR="00F35382">
              <w:rPr>
                <w:noProof/>
                <w:webHidden/>
              </w:rPr>
              <w:t>45</w:t>
            </w:r>
            <w:r w:rsidRPr="003013DE">
              <w:rPr>
                <w:noProof/>
                <w:webHidden/>
              </w:rPr>
              <w:fldChar w:fldCharType="end"/>
            </w:r>
          </w:hyperlink>
        </w:p>
        <w:p w14:paraId="38ADC48E" w14:textId="5661A065" w:rsidR="003013DE" w:rsidRPr="003013DE" w:rsidRDefault="003013DE">
          <w:pPr>
            <w:pStyle w:val="TDC2"/>
            <w:tabs>
              <w:tab w:val="right" w:leader="dot" w:pos="8828"/>
            </w:tabs>
            <w:rPr>
              <w:rFonts w:eastAsiaTheme="minorEastAsia"/>
              <w:noProof/>
              <w:lang w:eastAsia="es-CR"/>
            </w:rPr>
          </w:pPr>
          <w:hyperlink w:anchor="_Toc223177138" w:history="1">
            <w:r w:rsidRPr="003013DE">
              <w:rPr>
                <w:rStyle w:val="Hipervnculo"/>
                <w:rFonts w:ascii="Times New Roman" w:hAnsi="Times New Roman" w:cs="Times New Roman"/>
                <w:noProof/>
              </w:rPr>
              <w:t>2.4. Mecanismos neurobiológicos de interacción entre microbiota y cerebro</w:t>
            </w:r>
            <w:r w:rsidRPr="003013DE">
              <w:rPr>
                <w:noProof/>
                <w:webHidden/>
              </w:rPr>
              <w:tab/>
            </w:r>
            <w:r w:rsidRPr="003013DE">
              <w:rPr>
                <w:noProof/>
                <w:webHidden/>
              </w:rPr>
              <w:fldChar w:fldCharType="begin"/>
            </w:r>
            <w:r w:rsidRPr="003013DE">
              <w:rPr>
                <w:noProof/>
                <w:webHidden/>
              </w:rPr>
              <w:instrText xml:space="preserve"> PAGEREF _Toc223177138 \h </w:instrText>
            </w:r>
            <w:r w:rsidRPr="003013DE">
              <w:rPr>
                <w:noProof/>
                <w:webHidden/>
              </w:rPr>
            </w:r>
            <w:r w:rsidRPr="003013DE">
              <w:rPr>
                <w:noProof/>
                <w:webHidden/>
              </w:rPr>
              <w:fldChar w:fldCharType="separate"/>
            </w:r>
            <w:r w:rsidR="00F35382">
              <w:rPr>
                <w:noProof/>
                <w:webHidden/>
              </w:rPr>
              <w:t>45</w:t>
            </w:r>
            <w:r w:rsidRPr="003013DE">
              <w:rPr>
                <w:noProof/>
                <w:webHidden/>
              </w:rPr>
              <w:fldChar w:fldCharType="end"/>
            </w:r>
          </w:hyperlink>
        </w:p>
        <w:p w14:paraId="7D5A4DEE" w14:textId="623256CD" w:rsidR="003013DE" w:rsidRPr="003013DE" w:rsidRDefault="003013DE">
          <w:pPr>
            <w:pStyle w:val="TDC3"/>
            <w:rPr>
              <w:rFonts w:eastAsiaTheme="minorEastAsia"/>
              <w:noProof/>
              <w:lang w:eastAsia="es-CR"/>
            </w:rPr>
          </w:pPr>
          <w:hyperlink w:anchor="_Toc223177139" w:history="1">
            <w:r w:rsidRPr="003013DE">
              <w:rPr>
                <w:rStyle w:val="Hipervnculo"/>
                <w:rFonts w:ascii="Times New Roman" w:hAnsi="Times New Roman" w:cs="Times New Roman"/>
                <w:noProof/>
              </w:rPr>
              <w:t>2.4.1 Neurotransmisores y neuromoduladores de origen microbiano</w:t>
            </w:r>
            <w:r w:rsidRPr="003013DE">
              <w:rPr>
                <w:noProof/>
                <w:webHidden/>
              </w:rPr>
              <w:tab/>
            </w:r>
            <w:r w:rsidRPr="003013DE">
              <w:rPr>
                <w:noProof/>
                <w:webHidden/>
              </w:rPr>
              <w:fldChar w:fldCharType="begin"/>
            </w:r>
            <w:r w:rsidRPr="003013DE">
              <w:rPr>
                <w:noProof/>
                <w:webHidden/>
              </w:rPr>
              <w:instrText xml:space="preserve"> PAGEREF _Toc223177139 \h </w:instrText>
            </w:r>
            <w:r w:rsidRPr="003013DE">
              <w:rPr>
                <w:noProof/>
                <w:webHidden/>
              </w:rPr>
            </w:r>
            <w:r w:rsidRPr="003013DE">
              <w:rPr>
                <w:noProof/>
                <w:webHidden/>
              </w:rPr>
              <w:fldChar w:fldCharType="separate"/>
            </w:r>
            <w:r w:rsidR="00F35382">
              <w:rPr>
                <w:noProof/>
                <w:webHidden/>
              </w:rPr>
              <w:t>46</w:t>
            </w:r>
            <w:r w:rsidRPr="003013DE">
              <w:rPr>
                <w:noProof/>
                <w:webHidden/>
              </w:rPr>
              <w:fldChar w:fldCharType="end"/>
            </w:r>
          </w:hyperlink>
        </w:p>
        <w:p w14:paraId="0C6C9535" w14:textId="5F48D6F9" w:rsidR="003013DE" w:rsidRPr="003013DE" w:rsidRDefault="003013DE">
          <w:pPr>
            <w:pStyle w:val="TDC3"/>
            <w:rPr>
              <w:rFonts w:eastAsiaTheme="minorEastAsia"/>
              <w:noProof/>
              <w:lang w:eastAsia="es-CR"/>
            </w:rPr>
          </w:pPr>
          <w:hyperlink w:anchor="_Toc223177140" w:history="1">
            <w:r w:rsidRPr="003013DE">
              <w:rPr>
                <w:rStyle w:val="Hipervnculo"/>
                <w:rFonts w:ascii="Times New Roman" w:hAnsi="Times New Roman" w:cs="Times New Roman"/>
                <w:noProof/>
              </w:rPr>
              <w:t>2.4.2 Ácidos grasos de cadena corta (AGCC)</w:t>
            </w:r>
            <w:r w:rsidRPr="003013DE">
              <w:rPr>
                <w:noProof/>
                <w:webHidden/>
              </w:rPr>
              <w:tab/>
            </w:r>
            <w:r w:rsidRPr="003013DE">
              <w:rPr>
                <w:noProof/>
                <w:webHidden/>
              </w:rPr>
              <w:fldChar w:fldCharType="begin"/>
            </w:r>
            <w:r w:rsidRPr="003013DE">
              <w:rPr>
                <w:noProof/>
                <w:webHidden/>
              </w:rPr>
              <w:instrText xml:space="preserve"> PAGEREF _Toc223177140 \h </w:instrText>
            </w:r>
            <w:r w:rsidRPr="003013DE">
              <w:rPr>
                <w:noProof/>
                <w:webHidden/>
              </w:rPr>
            </w:r>
            <w:r w:rsidRPr="003013DE">
              <w:rPr>
                <w:noProof/>
                <w:webHidden/>
              </w:rPr>
              <w:fldChar w:fldCharType="separate"/>
            </w:r>
            <w:r w:rsidR="00F35382">
              <w:rPr>
                <w:noProof/>
                <w:webHidden/>
              </w:rPr>
              <w:t>46</w:t>
            </w:r>
            <w:r w:rsidRPr="003013DE">
              <w:rPr>
                <w:noProof/>
                <w:webHidden/>
              </w:rPr>
              <w:fldChar w:fldCharType="end"/>
            </w:r>
          </w:hyperlink>
        </w:p>
        <w:p w14:paraId="3CA4BB8A" w14:textId="31DA9954" w:rsidR="003013DE" w:rsidRPr="003013DE" w:rsidRDefault="003013DE">
          <w:pPr>
            <w:pStyle w:val="TDC3"/>
            <w:rPr>
              <w:rFonts w:eastAsiaTheme="minorEastAsia"/>
              <w:noProof/>
              <w:lang w:eastAsia="es-CR"/>
            </w:rPr>
          </w:pPr>
          <w:hyperlink w:anchor="_Toc223177141" w:history="1">
            <w:r w:rsidRPr="003013DE">
              <w:rPr>
                <w:rStyle w:val="Hipervnculo"/>
                <w:rFonts w:ascii="Times New Roman" w:hAnsi="Times New Roman" w:cs="Times New Roman"/>
                <w:noProof/>
              </w:rPr>
              <w:t>2.4.3 Citocinas y mediadores inmunológicos</w:t>
            </w:r>
            <w:r w:rsidRPr="003013DE">
              <w:rPr>
                <w:noProof/>
                <w:webHidden/>
              </w:rPr>
              <w:tab/>
            </w:r>
            <w:r w:rsidRPr="003013DE">
              <w:rPr>
                <w:noProof/>
                <w:webHidden/>
              </w:rPr>
              <w:fldChar w:fldCharType="begin"/>
            </w:r>
            <w:r w:rsidRPr="003013DE">
              <w:rPr>
                <w:noProof/>
                <w:webHidden/>
              </w:rPr>
              <w:instrText xml:space="preserve"> PAGEREF _Toc223177141 \h </w:instrText>
            </w:r>
            <w:r w:rsidRPr="003013DE">
              <w:rPr>
                <w:noProof/>
                <w:webHidden/>
              </w:rPr>
            </w:r>
            <w:r w:rsidRPr="003013DE">
              <w:rPr>
                <w:noProof/>
                <w:webHidden/>
              </w:rPr>
              <w:fldChar w:fldCharType="separate"/>
            </w:r>
            <w:r w:rsidR="00F35382">
              <w:rPr>
                <w:noProof/>
                <w:webHidden/>
              </w:rPr>
              <w:t>47</w:t>
            </w:r>
            <w:r w:rsidRPr="003013DE">
              <w:rPr>
                <w:noProof/>
                <w:webHidden/>
              </w:rPr>
              <w:fldChar w:fldCharType="end"/>
            </w:r>
          </w:hyperlink>
        </w:p>
        <w:p w14:paraId="16BB7A32" w14:textId="69473D74" w:rsidR="003013DE" w:rsidRPr="003013DE" w:rsidRDefault="003013DE">
          <w:pPr>
            <w:pStyle w:val="TDC3"/>
            <w:rPr>
              <w:rFonts w:eastAsiaTheme="minorEastAsia"/>
              <w:noProof/>
              <w:lang w:eastAsia="es-CR"/>
            </w:rPr>
          </w:pPr>
          <w:hyperlink w:anchor="_Toc223177142" w:history="1">
            <w:r w:rsidRPr="003013DE">
              <w:rPr>
                <w:rStyle w:val="Hipervnculo"/>
                <w:rFonts w:ascii="Times New Roman" w:hAnsi="Times New Roman" w:cs="Times New Roman"/>
                <w:noProof/>
              </w:rPr>
              <w:t>2.4.4 Hormonas del estrés y eje hipotálamo–hipófisis–adrenal</w:t>
            </w:r>
            <w:r w:rsidRPr="003013DE">
              <w:rPr>
                <w:noProof/>
                <w:webHidden/>
              </w:rPr>
              <w:tab/>
            </w:r>
            <w:r w:rsidRPr="003013DE">
              <w:rPr>
                <w:noProof/>
                <w:webHidden/>
              </w:rPr>
              <w:fldChar w:fldCharType="begin"/>
            </w:r>
            <w:r w:rsidRPr="003013DE">
              <w:rPr>
                <w:noProof/>
                <w:webHidden/>
              </w:rPr>
              <w:instrText xml:space="preserve"> PAGEREF _Toc223177142 \h </w:instrText>
            </w:r>
            <w:r w:rsidRPr="003013DE">
              <w:rPr>
                <w:noProof/>
                <w:webHidden/>
              </w:rPr>
            </w:r>
            <w:r w:rsidRPr="003013DE">
              <w:rPr>
                <w:noProof/>
                <w:webHidden/>
              </w:rPr>
              <w:fldChar w:fldCharType="separate"/>
            </w:r>
            <w:r w:rsidR="00F35382">
              <w:rPr>
                <w:noProof/>
                <w:webHidden/>
              </w:rPr>
              <w:t>47</w:t>
            </w:r>
            <w:r w:rsidRPr="003013DE">
              <w:rPr>
                <w:noProof/>
                <w:webHidden/>
              </w:rPr>
              <w:fldChar w:fldCharType="end"/>
            </w:r>
          </w:hyperlink>
        </w:p>
        <w:p w14:paraId="314B9A92" w14:textId="368E7B5B" w:rsidR="003013DE" w:rsidRPr="003013DE" w:rsidRDefault="003013DE">
          <w:pPr>
            <w:pStyle w:val="TDC2"/>
            <w:tabs>
              <w:tab w:val="right" w:leader="dot" w:pos="8828"/>
            </w:tabs>
            <w:rPr>
              <w:rFonts w:eastAsiaTheme="minorEastAsia"/>
              <w:noProof/>
              <w:lang w:eastAsia="es-CR"/>
            </w:rPr>
          </w:pPr>
          <w:hyperlink w:anchor="_Toc223177143" w:history="1">
            <w:r w:rsidRPr="003013DE">
              <w:rPr>
                <w:rStyle w:val="Hipervnculo"/>
                <w:rFonts w:ascii="Times New Roman" w:hAnsi="Times New Roman" w:cs="Times New Roman"/>
                <w:noProof/>
              </w:rPr>
              <w:t>2.5. Influencia del microbiota intestinal en la función cognitiva y emocional</w:t>
            </w:r>
            <w:r w:rsidRPr="003013DE">
              <w:rPr>
                <w:noProof/>
                <w:webHidden/>
              </w:rPr>
              <w:tab/>
            </w:r>
            <w:r w:rsidRPr="003013DE">
              <w:rPr>
                <w:noProof/>
                <w:webHidden/>
              </w:rPr>
              <w:fldChar w:fldCharType="begin"/>
            </w:r>
            <w:r w:rsidRPr="003013DE">
              <w:rPr>
                <w:noProof/>
                <w:webHidden/>
              </w:rPr>
              <w:instrText xml:space="preserve"> PAGEREF _Toc223177143 \h </w:instrText>
            </w:r>
            <w:r w:rsidRPr="003013DE">
              <w:rPr>
                <w:noProof/>
                <w:webHidden/>
              </w:rPr>
            </w:r>
            <w:r w:rsidRPr="003013DE">
              <w:rPr>
                <w:noProof/>
                <w:webHidden/>
              </w:rPr>
              <w:fldChar w:fldCharType="separate"/>
            </w:r>
            <w:r w:rsidR="00F35382">
              <w:rPr>
                <w:noProof/>
                <w:webHidden/>
              </w:rPr>
              <w:t>48</w:t>
            </w:r>
            <w:r w:rsidRPr="003013DE">
              <w:rPr>
                <w:noProof/>
                <w:webHidden/>
              </w:rPr>
              <w:fldChar w:fldCharType="end"/>
            </w:r>
          </w:hyperlink>
        </w:p>
        <w:p w14:paraId="3C7594AD" w14:textId="2C7F7844" w:rsidR="003013DE" w:rsidRPr="003013DE" w:rsidRDefault="003013DE">
          <w:pPr>
            <w:pStyle w:val="TDC3"/>
            <w:rPr>
              <w:rFonts w:eastAsiaTheme="minorEastAsia"/>
              <w:noProof/>
              <w:lang w:eastAsia="es-CR"/>
            </w:rPr>
          </w:pPr>
          <w:hyperlink w:anchor="_Toc223177144" w:history="1">
            <w:r w:rsidRPr="003013DE">
              <w:rPr>
                <w:rStyle w:val="Hipervnculo"/>
                <w:rFonts w:ascii="Times New Roman" w:hAnsi="Times New Roman" w:cs="Times New Roman"/>
                <w:noProof/>
              </w:rPr>
              <w:t>2.5.1 Microbiota intestinal y regulación del estado de ánimo</w:t>
            </w:r>
            <w:r w:rsidRPr="003013DE">
              <w:rPr>
                <w:noProof/>
                <w:webHidden/>
              </w:rPr>
              <w:tab/>
            </w:r>
            <w:r w:rsidRPr="003013DE">
              <w:rPr>
                <w:noProof/>
                <w:webHidden/>
              </w:rPr>
              <w:fldChar w:fldCharType="begin"/>
            </w:r>
            <w:r w:rsidRPr="003013DE">
              <w:rPr>
                <w:noProof/>
                <w:webHidden/>
              </w:rPr>
              <w:instrText xml:space="preserve"> PAGEREF _Toc223177144 \h </w:instrText>
            </w:r>
            <w:r w:rsidRPr="003013DE">
              <w:rPr>
                <w:noProof/>
                <w:webHidden/>
              </w:rPr>
            </w:r>
            <w:r w:rsidRPr="003013DE">
              <w:rPr>
                <w:noProof/>
                <w:webHidden/>
              </w:rPr>
              <w:fldChar w:fldCharType="separate"/>
            </w:r>
            <w:r w:rsidR="00F35382">
              <w:rPr>
                <w:noProof/>
                <w:webHidden/>
              </w:rPr>
              <w:t>49</w:t>
            </w:r>
            <w:r w:rsidRPr="003013DE">
              <w:rPr>
                <w:noProof/>
                <w:webHidden/>
              </w:rPr>
              <w:fldChar w:fldCharType="end"/>
            </w:r>
          </w:hyperlink>
        </w:p>
        <w:p w14:paraId="05D58F30" w14:textId="6DAFEDF2" w:rsidR="003013DE" w:rsidRPr="003013DE" w:rsidRDefault="003013DE">
          <w:pPr>
            <w:pStyle w:val="TDC3"/>
            <w:rPr>
              <w:rFonts w:eastAsiaTheme="minorEastAsia"/>
              <w:noProof/>
              <w:lang w:eastAsia="es-CR"/>
            </w:rPr>
          </w:pPr>
          <w:hyperlink w:anchor="_Toc223177145" w:history="1">
            <w:r w:rsidRPr="003013DE">
              <w:rPr>
                <w:rStyle w:val="Hipervnculo"/>
                <w:rFonts w:ascii="Times New Roman" w:hAnsi="Times New Roman" w:cs="Times New Roman"/>
                <w:noProof/>
              </w:rPr>
              <w:t>2.5.2 Influencia del microbiota en la memoria y la función cognitiva</w:t>
            </w:r>
            <w:r w:rsidRPr="003013DE">
              <w:rPr>
                <w:noProof/>
                <w:webHidden/>
              </w:rPr>
              <w:tab/>
            </w:r>
            <w:r w:rsidRPr="003013DE">
              <w:rPr>
                <w:noProof/>
                <w:webHidden/>
              </w:rPr>
              <w:fldChar w:fldCharType="begin"/>
            </w:r>
            <w:r w:rsidRPr="003013DE">
              <w:rPr>
                <w:noProof/>
                <w:webHidden/>
              </w:rPr>
              <w:instrText xml:space="preserve"> PAGEREF _Toc223177145 \h </w:instrText>
            </w:r>
            <w:r w:rsidRPr="003013DE">
              <w:rPr>
                <w:noProof/>
                <w:webHidden/>
              </w:rPr>
            </w:r>
            <w:r w:rsidRPr="003013DE">
              <w:rPr>
                <w:noProof/>
                <w:webHidden/>
              </w:rPr>
              <w:fldChar w:fldCharType="separate"/>
            </w:r>
            <w:r w:rsidR="00F35382">
              <w:rPr>
                <w:noProof/>
                <w:webHidden/>
              </w:rPr>
              <w:t>49</w:t>
            </w:r>
            <w:r w:rsidRPr="003013DE">
              <w:rPr>
                <w:noProof/>
                <w:webHidden/>
              </w:rPr>
              <w:fldChar w:fldCharType="end"/>
            </w:r>
          </w:hyperlink>
        </w:p>
        <w:p w14:paraId="6CE2CBD9" w14:textId="2040189D" w:rsidR="003013DE" w:rsidRPr="003013DE" w:rsidRDefault="003013DE">
          <w:pPr>
            <w:pStyle w:val="TDC3"/>
            <w:rPr>
              <w:rFonts w:eastAsiaTheme="minorEastAsia"/>
              <w:noProof/>
              <w:lang w:eastAsia="es-CR"/>
            </w:rPr>
          </w:pPr>
          <w:hyperlink w:anchor="_Toc223177146" w:history="1">
            <w:r w:rsidRPr="003013DE">
              <w:rPr>
                <w:rStyle w:val="Hipervnculo"/>
                <w:rFonts w:ascii="Times New Roman" w:hAnsi="Times New Roman" w:cs="Times New Roman"/>
                <w:noProof/>
              </w:rPr>
              <w:t>2.5.3 Microbiota intestinal y ansiedad</w:t>
            </w:r>
            <w:r w:rsidRPr="003013DE">
              <w:rPr>
                <w:noProof/>
                <w:webHidden/>
              </w:rPr>
              <w:tab/>
            </w:r>
            <w:r w:rsidRPr="003013DE">
              <w:rPr>
                <w:noProof/>
                <w:webHidden/>
              </w:rPr>
              <w:fldChar w:fldCharType="begin"/>
            </w:r>
            <w:r w:rsidRPr="003013DE">
              <w:rPr>
                <w:noProof/>
                <w:webHidden/>
              </w:rPr>
              <w:instrText xml:space="preserve"> PAGEREF _Toc223177146 \h </w:instrText>
            </w:r>
            <w:r w:rsidRPr="003013DE">
              <w:rPr>
                <w:noProof/>
                <w:webHidden/>
              </w:rPr>
            </w:r>
            <w:r w:rsidRPr="003013DE">
              <w:rPr>
                <w:noProof/>
                <w:webHidden/>
              </w:rPr>
              <w:fldChar w:fldCharType="separate"/>
            </w:r>
            <w:r w:rsidR="00F35382">
              <w:rPr>
                <w:noProof/>
                <w:webHidden/>
              </w:rPr>
              <w:t>50</w:t>
            </w:r>
            <w:r w:rsidRPr="003013DE">
              <w:rPr>
                <w:noProof/>
                <w:webHidden/>
              </w:rPr>
              <w:fldChar w:fldCharType="end"/>
            </w:r>
          </w:hyperlink>
        </w:p>
        <w:p w14:paraId="53B33280" w14:textId="65B968B2" w:rsidR="003013DE" w:rsidRPr="003013DE" w:rsidRDefault="003013DE">
          <w:pPr>
            <w:pStyle w:val="TDC3"/>
            <w:rPr>
              <w:rFonts w:eastAsiaTheme="minorEastAsia"/>
              <w:noProof/>
              <w:lang w:eastAsia="es-CR"/>
            </w:rPr>
          </w:pPr>
          <w:hyperlink w:anchor="_Toc223177147" w:history="1">
            <w:r w:rsidRPr="003013DE">
              <w:rPr>
                <w:rStyle w:val="Hipervnculo"/>
                <w:rFonts w:ascii="Times New Roman" w:hAnsi="Times New Roman" w:cs="Times New Roman"/>
                <w:noProof/>
              </w:rPr>
              <w:t>2.5.4 Respuesta al estrés y microbiota intestinal</w:t>
            </w:r>
            <w:r w:rsidRPr="003013DE">
              <w:rPr>
                <w:noProof/>
                <w:webHidden/>
              </w:rPr>
              <w:tab/>
            </w:r>
            <w:r w:rsidRPr="003013DE">
              <w:rPr>
                <w:noProof/>
                <w:webHidden/>
              </w:rPr>
              <w:fldChar w:fldCharType="begin"/>
            </w:r>
            <w:r w:rsidRPr="003013DE">
              <w:rPr>
                <w:noProof/>
                <w:webHidden/>
              </w:rPr>
              <w:instrText xml:space="preserve"> PAGEREF _Toc223177147 \h </w:instrText>
            </w:r>
            <w:r w:rsidRPr="003013DE">
              <w:rPr>
                <w:noProof/>
                <w:webHidden/>
              </w:rPr>
            </w:r>
            <w:r w:rsidRPr="003013DE">
              <w:rPr>
                <w:noProof/>
                <w:webHidden/>
              </w:rPr>
              <w:fldChar w:fldCharType="separate"/>
            </w:r>
            <w:r w:rsidR="00F35382">
              <w:rPr>
                <w:noProof/>
                <w:webHidden/>
              </w:rPr>
              <w:t>50</w:t>
            </w:r>
            <w:r w:rsidRPr="003013DE">
              <w:rPr>
                <w:noProof/>
                <w:webHidden/>
              </w:rPr>
              <w:fldChar w:fldCharType="end"/>
            </w:r>
          </w:hyperlink>
        </w:p>
        <w:p w14:paraId="1CA53D48" w14:textId="33F32066" w:rsidR="003013DE" w:rsidRPr="003013DE" w:rsidRDefault="003013DE">
          <w:pPr>
            <w:pStyle w:val="TDC2"/>
            <w:tabs>
              <w:tab w:val="right" w:leader="dot" w:pos="8828"/>
            </w:tabs>
            <w:rPr>
              <w:rFonts w:eastAsiaTheme="minorEastAsia"/>
              <w:noProof/>
              <w:lang w:eastAsia="es-CR"/>
            </w:rPr>
          </w:pPr>
          <w:hyperlink w:anchor="_Toc223177148" w:history="1">
            <w:r w:rsidRPr="003013DE">
              <w:rPr>
                <w:rStyle w:val="Hipervnculo"/>
                <w:rFonts w:ascii="Times New Roman" w:hAnsi="Times New Roman" w:cs="Times New Roman"/>
                <w:noProof/>
              </w:rPr>
              <w:t>2.6. Disbiosis intestinal: causas, consecuencias y clasificación</w:t>
            </w:r>
            <w:r w:rsidRPr="003013DE">
              <w:rPr>
                <w:noProof/>
                <w:webHidden/>
              </w:rPr>
              <w:tab/>
            </w:r>
            <w:r w:rsidRPr="003013DE">
              <w:rPr>
                <w:noProof/>
                <w:webHidden/>
              </w:rPr>
              <w:fldChar w:fldCharType="begin"/>
            </w:r>
            <w:r w:rsidRPr="003013DE">
              <w:rPr>
                <w:noProof/>
                <w:webHidden/>
              </w:rPr>
              <w:instrText xml:space="preserve"> PAGEREF _Toc223177148 \h </w:instrText>
            </w:r>
            <w:r w:rsidRPr="003013DE">
              <w:rPr>
                <w:noProof/>
                <w:webHidden/>
              </w:rPr>
            </w:r>
            <w:r w:rsidRPr="003013DE">
              <w:rPr>
                <w:noProof/>
                <w:webHidden/>
              </w:rPr>
              <w:fldChar w:fldCharType="separate"/>
            </w:r>
            <w:r w:rsidR="00F35382">
              <w:rPr>
                <w:noProof/>
                <w:webHidden/>
              </w:rPr>
              <w:t>51</w:t>
            </w:r>
            <w:r w:rsidRPr="003013DE">
              <w:rPr>
                <w:noProof/>
                <w:webHidden/>
              </w:rPr>
              <w:fldChar w:fldCharType="end"/>
            </w:r>
          </w:hyperlink>
        </w:p>
        <w:p w14:paraId="0A2CB266" w14:textId="4A2E3A68" w:rsidR="003013DE" w:rsidRPr="003013DE" w:rsidRDefault="003013DE">
          <w:pPr>
            <w:pStyle w:val="TDC3"/>
            <w:rPr>
              <w:rFonts w:eastAsiaTheme="minorEastAsia"/>
              <w:noProof/>
              <w:lang w:eastAsia="es-CR"/>
            </w:rPr>
          </w:pPr>
          <w:hyperlink w:anchor="_Toc223177149" w:history="1">
            <w:r w:rsidRPr="003013DE">
              <w:rPr>
                <w:rStyle w:val="Hipervnculo"/>
                <w:rFonts w:ascii="Times New Roman" w:hAnsi="Times New Roman" w:cs="Times New Roman"/>
                <w:noProof/>
              </w:rPr>
              <w:t>2.6.1 Causas de la disbiosis intestinal</w:t>
            </w:r>
            <w:r w:rsidRPr="003013DE">
              <w:rPr>
                <w:noProof/>
                <w:webHidden/>
              </w:rPr>
              <w:tab/>
            </w:r>
            <w:r w:rsidRPr="003013DE">
              <w:rPr>
                <w:noProof/>
                <w:webHidden/>
              </w:rPr>
              <w:fldChar w:fldCharType="begin"/>
            </w:r>
            <w:r w:rsidRPr="003013DE">
              <w:rPr>
                <w:noProof/>
                <w:webHidden/>
              </w:rPr>
              <w:instrText xml:space="preserve"> PAGEREF _Toc223177149 \h </w:instrText>
            </w:r>
            <w:r w:rsidRPr="003013DE">
              <w:rPr>
                <w:noProof/>
                <w:webHidden/>
              </w:rPr>
            </w:r>
            <w:r w:rsidRPr="003013DE">
              <w:rPr>
                <w:noProof/>
                <w:webHidden/>
              </w:rPr>
              <w:fldChar w:fldCharType="separate"/>
            </w:r>
            <w:r w:rsidR="00F35382">
              <w:rPr>
                <w:noProof/>
                <w:webHidden/>
              </w:rPr>
              <w:t>53</w:t>
            </w:r>
            <w:r w:rsidRPr="003013DE">
              <w:rPr>
                <w:noProof/>
                <w:webHidden/>
              </w:rPr>
              <w:fldChar w:fldCharType="end"/>
            </w:r>
          </w:hyperlink>
        </w:p>
        <w:p w14:paraId="6FC4B237" w14:textId="51C2E5ED" w:rsidR="003013DE" w:rsidRPr="003013DE" w:rsidRDefault="003013DE">
          <w:pPr>
            <w:pStyle w:val="TDC3"/>
            <w:rPr>
              <w:rFonts w:eastAsiaTheme="minorEastAsia"/>
              <w:noProof/>
              <w:lang w:eastAsia="es-CR"/>
            </w:rPr>
          </w:pPr>
          <w:hyperlink w:anchor="_Toc223177150" w:history="1">
            <w:r w:rsidRPr="003013DE">
              <w:rPr>
                <w:rStyle w:val="Hipervnculo"/>
                <w:rFonts w:ascii="Times New Roman" w:hAnsi="Times New Roman" w:cs="Times New Roman"/>
                <w:noProof/>
              </w:rPr>
              <w:t>2.6.2 Clasificación de la disbiosis intestinal</w:t>
            </w:r>
            <w:r w:rsidRPr="003013DE">
              <w:rPr>
                <w:noProof/>
                <w:webHidden/>
              </w:rPr>
              <w:tab/>
            </w:r>
            <w:r w:rsidRPr="003013DE">
              <w:rPr>
                <w:noProof/>
                <w:webHidden/>
              </w:rPr>
              <w:fldChar w:fldCharType="begin"/>
            </w:r>
            <w:r w:rsidRPr="003013DE">
              <w:rPr>
                <w:noProof/>
                <w:webHidden/>
              </w:rPr>
              <w:instrText xml:space="preserve"> PAGEREF _Toc223177150 \h </w:instrText>
            </w:r>
            <w:r w:rsidRPr="003013DE">
              <w:rPr>
                <w:noProof/>
                <w:webHidden/>
              </w:rPr>
            </w:r>
            <w:r w:rsidRPr="003013DE">
              <w:rPr>
                <w:noProof/>
                <w:webHidden/>
              </w:rPr>
              <w:fldChar w:fldCharType="separate"/>
            </w:r>
            <w:r w:rsidR="00F35382">
              <w:rPr>
                <w:noProof/>
                <w:webHidden/>
              </w:rPr>
              <w:t>53</w:t>
            </w:r>
            <w:r w:rsidRPr="003013DE">
              <w:rPr>
                <w:noProof/>
                <w:webHidden/>
              </w:rPr>
              <w:fldChar w:fldCharType="end"/>
            </w:r>
          </w:hyperlink>
        </w:p>
        <w:p w14:paraId="67F5ECE7" w14:textId="1903863C" w:rsidR="003013DE" w:rsidRPr="003013DE" w:rsidRDefault="003013DE">
          <w:pPr>
            <w:pStyle w:val="TDC3"/>
            <w:rPr>
              <w:rFonts w:eastAsiaTheme="minorEastAsia"/>
              <w:noProof/>
              <w:lang w:eastAsia="es-CR"/>
            </w:rPr>
          </w:pPr>
          <w:hyperlink w:anchor="_Toc223177151" w:history="1">
            <w:r w:rsidRPr="003013DE">
              <w:rPr>
                <w:rStyle w:val="Hipervnculo"/>
                <w:rFonts w:ascii="Times New Roman" w:hAnsi="Times New Roman" w:cs="Times New Roman"/>
                <w:noProof/>
              </w:rPr>
              <w:t>2.6.3 Consecuencias metabólicas de la disbiosis intestinal</w:t>
            </w:r>
            <w:r w:rsidRPr="003013DE">
              <w:rPr>
                <w:noProof/>
                <w:webHidden/>
              </w:rPr>
              <w:tab/>
            </w:r>
            <w:r w:rsidRPr="003013DE">
              <w:rPr>
                <w:noProof/>
                <w:webHidden/>
              </w:rPr>
              <w:fldChar w:fldCharType="begin"/>
            </w:r>
            <w:r w:rsidRPr="003013DE">
              <w:rPr>
                <w:noProof/>
                <w:webHidden/>
              </w:rPr>
              <w:instrText xml:space="preserve"> PAGEREF _Toc223177151 \h </w:instrText>
            </w:r>
            <w:r w:rsidRPr="003013DE">
              <w:rPr>
                <w:noProof/>
                <w:webHidden/>
              </w:rPr>
            </w:r>
            <w:r w:rsidRPr="003013DE">
              <w:rPr>
                <w:noProof/>
                <w:webHidden/>
              </w:rPr>
              <w:fldChar w:fldCharType="separate"/>
            </w:r>
            <w:r w:rsidR="00F35382">
              <w:rPr>
                <w:noProof/>
                <w:webHidden/>
              </w:rPr>
              <w:t>54</w:t>
            </w:r>
            <w:r w:rsidRPr="003013DE">
              <w:rPr>
                <w:noProof/>
                <w:webHidden/>
              </w:rPr>
              <w:fldChar w:fldCharType="end"/>
            </w:r>
          </w:hyperlink>
        </w:p>
        <w:p w14:paraId="608E3CBF" w14:textId="6294AABA" w:rsidR="003013DE" w:rsidRPr="003013DE" w:rsidRDefault="003013DE">
          <w:pPr>
            <w:pStyle w:val="TDC3"/>
            <w:rPr>
              <w:rFonts w:eastAsiaTheme="minorEastAsia"/>
              <w:noProof/>
              <w:lang w:eastAsia="es-CR"/>
            </w:rPr>
          </w:pPr>
          <w:hyperlink w:anchor="_Toc223177152" w:history="1">
            <w:r w:rsidRPr="003013DE">
              <w:rPr>
                <w:rStyle w:val="Hipervnculo"/>
                <w:rFonts w:ascii="Times New Roman" w:hAnsi="Times New Roman" w:cs="Times New Roman"/>
                <w:noProof/>
              </w:rPr>
              <w:t>2.6.4 Disbiosis, inflamación sistémica y neurodegeneración</w:t>
            </w:r>
            <w:r w:rsidRPr="003013DE">
              <w:rPr>
                <w:noProof/>
                <w:webHidden/>
              </w:rPr>
              <w:tab/>
            </w:r>
            <w:r w:rsidRPr="003013DE">
              <w:rPr>
                <w:noProof/>
                <w:webHidden/>
              </w:rPr>
              <w:fldChar w:fldCharType="begin"/>
            </w:r>
            <w:r w:rsidRPr="003013DE">
              <w:rPr>
                <w:noProof/>
                <w:webHidden/>
              </w:rPr>
              <w:instrText xml:space="preserve"> PAGEREF _Toc223177152 \h </w:instrText>
            </w:r>
            <w:r w:rsidRPr="003013DE">
              <w:rPr>
                <w:noProof/>
                <w:webHidden/>
              </w:rPr>
            </w:r>
            <w:r w:rsidRPr="003013DE">
              <w:rPr>
                <w:noProof/>
                <w:webHidden/>
              </w:rPr>
              <w:fldChar w:fldCharType="separate"/>
            </w:r>
            <w:r w:rsidR="00F35382">
              <w:rPr>
                <w:noProof/>
                <w:webHidden/>
              </w:rPr>
              <w:t>54</w:t>
            </w:r>
            <w:r w:rsidRPr="003013DE">
              <w:rPr>
                <w:noProof/>
                <w:webHidden/>
              </w:rPr>
              <w:fldChar w:fldCharType="end"/>
            </w:r>
          </w:hyperlink>
        </w:p>
        <w:p w14:paraId="4BBD5BA1" w14:textId="0792A387" w:rsidR="003013DE" w:rsidRPr="003013DE" w:rsidRDefault="003013DE">
          <w:pPr>
            <w:pStyle w:val="TDC2"/>
            <w:tabs>
              <w:tab w:val="right" w:leader="dot" w:pos="8828"/>
            </w:tabs>
            <w:rPr>
              <w:rFonts w:eastAsiaTheme="minorEastAsia"/>
              <w:noProof/>
              <w:lang w:eastAsia="es-CR"/>
            </w:rPr>
          </w:pPr>
          <w:hyperlink w:anchor="_Toc223177153" w:history="1">
            <w:r w:rsidRPr="003013DE">
              <w:rPr>
                <w:rStyle w:val="Hipervnculo"/>
                <w:rFonts w:ascii="Times New Roman" w:hAnsi="Times New Roman" w:cs="Times New Roman"/>
                <w:noProof/>
              </w:rPr>
              <w:t>2.7. Papel del microbiota intestinal en la neuroinflamación</w:t>
            </w:r>
            <w:r w:rsidRPr="003013DE">
              <w:rPr>
                <w:noProof/>
                <w:webHidden/>
              </w:rPr>
              <w:tab/>
            </w:r>
            <w:r w:rsidRPr="003013DE">
              <w:rPr>
                <w:noProof/>
                <w:webHidden/>
              </w:rPr>
              <w:fldChar w:fldCharType="begin"/>
            </w:r>
            <w:r w:rsidRPr="003013DE">
              <w:rPr>
                <w:noProof/>
                <w:webHidden/>
              </w:rPr>
              <w:instrText xml:space="preserve"> PAGEREF _Toc223177153 \h </w:instrText>
            </w:r>
            <w:r w:rsidRPr="003013DE">
              <w:rPr>
                <w:noProof/>
                <w:webHidden/>
              </w:rPr>
            </w:r>
            <w:r w:rsidRPr="003013DE">
              <w:rPr>
                <w:noProof/>
                <w:webHidden/>
              </w:rPr>
              <w:fldChar w:fldCharType="separate"/>
            </w:r>
            <w:r w:rsidR="00F35382">
              <w:rPr>
                <w:noProof/>
                <w:webHidden/>
              </w:rPr>
              <w:t>55</w:t>
            </w:r>
            <w:r w:rsidRPr="003013DE">
              <w:rPr>
                <w:noProof/>
                <w:webHidden/>
              </w:rPr>
              <w:fldChar w:fldCharType="end"/>
            </w:r>
          </w:hyperlink>
        </w:p>
        <w:p w14:paraId="3A710D13" w14:textId="2D345659" w:rsidR="003013DE" w:rsidRPr="003013DE" w:rsidRDefault="003013DE">
          <w:pPr>
            <w:pStyle w:val="TDC3"/>
            <w:rPr>
              <w:rFonts w:eastAsiaTheme="minorEastAsia"/>
              <w:noProof/>
              <w:lang w:eastAsia="es-CR"/>
            </w:rPr>
          </w:pPr>
          <w:hyperlink w:anchor="_Toc223177154" w:history="1">
            <w:r w:rsidRPr="003013DE">
              <w:rPr>
                <w:rStyle w:val="Hipervnculo"/>
                <w:rFonts w:ascii="Times New Roman" w:hAnsi="Times New Roman" w:cs="Times New Roman"/>
                <w:noProof/>
              </w:rPr>
              <w:t>2.7.1 Disbiosis intestinal como desencadenante de inflamación sistémica de bajo grado</w:t>
            </w:r>
            <w:r w:rsidRPr="003013DE">
              <w:rPr>
                <w:noProof/>
                <w:webHidden/>
              </w:rPr>
              <w:tab/>
            </w:r>
            <w:r w:rsidRPr="003013DE">
              <w:rPr>
                <w:noProof/>
                <w:webHidden/>
              </w:rPr>
              <w:fldChar w:fldCharType="begin"/>
            </w:r>
            <w:r w:rsidRPr="003013DE">
              <w:rPr>
                <w:noProof/>
                <w:webHidden/>
              </w:rPr>
              <w:instrText xml:space="preserve"> PAGEREF _Toc223177154 \h </w:instrText>
            </w:r>
            <w:r w:rsidRPr="003013DE">
              <w:rPr>
                <w:noProof/>
                <w:webHidden/>
              </w:rPr>
            </w:r>
            <w:r w:rsidRPr="003013DE">
              <w:rPr>
                <w:noProof/>
                <w:webHidden/>
              </w:rPr>
              <w:fldChar w:fldCharType="separate"/>
            </w:r>
            <w:r w:rsidR="00F35382">
              <w:rPr>
                <w:noProof/>
                <w:webHidden/>
              </w:rPr>
              <w:t>55</w:t>
            </w:r>
            <w:r w:rsidRPr="003013DE">
              <w:rPr>
                <w:noProof/>
                <w:webHidden/>
              </w:rPr>
              <w:fldChar w:fldCharType="end"/>
            </w:r>
          </w:hyperlink>
        </w:p>
        <w:p w14:paraId="1E0F66B9" w14:textId="217D68F8" w:rsidR="003013DE" w:rsidRPr="003013DE" w:rsidRDefault="003013DE">
          <w:pPr>
            <w:pStyle w:val="TDC3"/>
            <w:rPr>
              <w:rFonts w:eastAsiaTheme="minorEastAsia"/>
              <w:noProof/>
              <w:lang w:eastAsia="es-CR"/>
            </w:rPr>
          </w:pPr>
          <w:hyperlink w:anchor="_Toc223177155" w:history="1">
            <w:r w:rsidRPr="003013DE">
              <w:rPr>
                <w:rStyle w:val="Hipervnculo"/>
                <w:rFonts w:ascii="Times New Roman" w:hAnsi="Times New Roman" w:cs="Times New Roman"/>
                <w:noProof/>
              </w:rPr>
              <w:t>2.7.2 Activación microglial mediada por señales derivadas del microbiota</w:t>
            </w:r>
            <w:r w:rsidRPr="003013DE">
              <w:rPr>
                <w:noProof/>
                <w:webHidden/>
              </w:rPr>
              <w:tab/>
            </w:r>
            <w:r w:rsidRPr="003013DE">
              <w:rPr>
                <w:noProof/>
                <w:webHidden/>
              </w:rPr>
              <w:fldChar w:fldCharType="begin"/>
            </w:r>
            <w:r w:rsidRPr="003013DE">
              <w:rPr>
                <w:noProof/>
                <w:webHidden/>
              </w:rPr>
              <w:instrText xml:space="preserve"> PAGEREF _Toc223177155 \h </w:instrText>
            </w:r>
            <w:r w:rsidRPr="003013DE">
              <w:rPr>
                <w:noProof/>
                <w:webHidden/>
              </w:rPr>
            </w:r>
            <w:r w:rsidRPr="003013DE">
              <w:rPr>
                <w:noProof/>
                <w:webHidden/>
              </w:rPr>
              <w:fldChar w:fldCharType="separate"/>
            </w:r>
            <w:r w:rsidR="00F35382">
              <w:rPr>
                <w:noProof/>
                <w:webHidden/>
              </w:rPr>
              <w:t>56</w:t>
            </w:r>
            <w:r w:rsidRPr="003013DE">
              <w:rPr>
                <w:noProof/>
                <w:webHidden/>
              </w:rPr>
              <w:fldChar w:fldCharType="end"/>
            </w:r>
          </w:hyperlink>
        </w:p>
        <w:p w14:paraId="4FE4925C" w14:textId="607433DC" w:rsidR="003013DE" w:rsidRPr="003013DE" w:rsidRDefault="003013DE">
          <w:pPr>
            <w:pStyle w:val="TDC3"/>
            <w:rPr>
              <w:rFonts w:eastAsiaTheme="minorEastAsia"/>
              <w:noProof/>
              <w:lang w:eastAsia="es-CR"/>
            </w:rPr>
          </w:pPr>
          <w:hyperlink w:anchor="_Toc223177156" w:history="1">
            <w:r w:rsidRPr="003013DE">
              <w:rPr>
                <w:rStyle w:val="Hipervnculo"/>
                <w:rFonts w:ascii="Times New Roman" w:hAnsi="Times New Roman" w:cs="Times New Roman"/>
                <w:noProof/>
              </w:rPr>
              <w:t>2.7.3 Papel de los metabolitos microbianos en la regulación neuroinflamatoria</w:t>
            </w:r>
            <w:r w:rsidRPr="003013DE">
              <w:rPr>
                <w:noProof/>
                <w:webHidden/>
              </w:rPr>
              <w:tab/>
            </w:r>
            <w:r w:rsidRPr="003013DE">
              <w:rPr>
                <w:noProof/>
                <w:webHidden/>
              </w:rPr>
              <w:fldChar w:fldCharType="begin"/>
            </w:r>
            <w:r w:rsidRPr="003013DE">
              <w:rPr>
                <w:noProof/>
                <w:webHidden/>
              </w:rPr>
              <w:instrText xml:space="preserve"> PAGEREF _Toc223177156 \h </w:instrText>
            </w:r>
            <w:r w:rsidRPr="003013DE">
              <w:rPr>
                <w:noProof/>
                <w:webHidden/>
              </w:rPr>
            </w:r>
            <w:r w:rsidRPr="003013DE">
              <w:rPr>
                <w:noProof/>
                <w:webHidden/>
              </w:rPr>
              <w:fldChar w:fldCharType="separate"/>
            </w:r>
            <w:r w:rsidR="00F35382">
              <w:rPr>
                <w:noProof/>
                <w:webHidden/>
              </w:rPr>
              <w:t>56</w:t>
            </w:r>
            <w:r w:rsidRPr="003013DE">
              <w:rPr>
                <w:noProof/>
                <w:webHidden/>
              </w:rPr>
              <w:fldChar w:fldCharType="end"/>
            </w:r>
          </w:hyperlink>
        </w:p>
        <w:p w14:paraId="0ECFB462" w14:textId="5B1C7279" w:rsidR="003013DE" w:rsidRPr="003013DE" w:rsidRDefault="003013DE">
          <w:pPr>
            <w:pStyle w:val="TDC3"/>
            <w:rPr>
              <w:rFonts w:eastAsiaTheme="minorEastAsia"/>
              <w:noProof/>
              <w:lang w:eastAsia="es-CR"/>
            </w:rPr>
          </w:pPr>
          <w:hyperlink w:anchor="_Toc223177157" w:history="1">
            <w:r w:rsidRPr="003013DE">
              <w:rPr>
                <w:rStyle w:val="Hipervnculo"/>
                <w:rFonts w:ascii="Times New Roman" w:hAnsi="Times New Roman" w:cs="Times New Roman"/>
                <w:noProof/>
              </w:rPr>
              <w:t>2.7.4 Neuroinflamación, disbiosis y deterioro neuronal</w:t>
            </w:r>
            <w:r w:rsidRPr="003013DE">
              <w:rPr>
                <w:noProof/>
                <w:webHidden/>
              </w:rPr>
              <w:tab/>
            </w:r>
            <w:r w:rsidRPr="003013DE">
              <w:rPr>
                <w:noProof/>
                <w:webHidden/>
              </w:rPr>
              <w:fldChar w:fldCharType="begin"/>
            </w:r>
            <w:r w:rsidRPr="003013DE">
              <w:rPr>
                <w:noProof/>
                <w:webHidden/>
              </w:rPr>
              <w:instrText xml:space="preserve"> PAGEREF _Toc223177157 \h </w:instrText>
            </w:r>
            <w:r w:rsidRPr="003013DE">
              <w:rPr>
                <w:noProof/>
                <w:webHidden/>
              </w:rPr>
            </w:r>
            <w:r w:rsidRPr="003013DE">
              <w:rPr>
                <w:noProof/>
                <w:webHidden/>
              </w:rPr>
              <w:fldChar w:fldCharType="separate"/>
            </w:r>
            <w:r w:rsidR="00F35382">
              <w:rPr>
                <w:noProof/>
                <w:webHidden/>
              </w:rPr>
              <w:t>57</w:t>
            </w:r>
            <w:r w:rsidRPr="003013DE">
              <w:rPr>
                <w:noProof/>
                <w:webHidden/>
              </w:rPr>
              <w:fldChar w:fldCharType="end"/>
            </w:r>
          </w:hyperlink>
        </w:p>
        <w:p w14:paraId="5147C8BA" w14:textId="2A05288E" w:rsidR="003013DE" w:rsidRPr="003013DE" w:rsidRDefault="003013DE">
          <w:pPr>
            <w:pStyle w:val="TDC2"/>
            <w:tabs>
              <w:tab w:val="right" w:leader="dot" w:pos="8828"/>
            </w:tabs>
            <w:rPr>
              <w:rFonts w:eastAsiaTheme="minorEastAsia"/>
              <w:noProof/>
              <w:lang w:eastAsia="es-CR"/>
            </w:rPr>
          </w:pPr>
          <w:hyperlink w:anchor="_Toc223177158" w:history="1">
            <w:r w:rsidRPr="003013DE">
              <w:rPr>
                <w:rStyle w:val="Hipervnculo"/>
                <w:rFonts w:ascii="Times New Roman" w:hAnsi="Times New Roman" w:cs="Times New Roman"/>
                <w:noProof/>
              </w:rPr>
              <w:t>2.8. Relación entre microbiota intestinal y enfermedad de Alzheimer</w:t>
            </w:r>
            <w:r w:rsidRPr="003013DE">
              <w:rPr>
                <w:noProof/>
                <w:webHidden/>
              </w:rPr>
              <w:tab/>
            </w:r>
            <w:r w:rsidRPr="003013DE">
              <w:rPr>
                <w:noProof/>
                <w:webHidden/>
              </w:rPr>
              <w:fldChar w:fldCharType="begin"/>
            </w:r>
            <w:r w:rsidRPr="003013DE">
              <w:rPr>
                <w:noProof/>
                <w:webHidden/>
              </w:rPr>
              <w:instrText xml:space="preserve"> PAGEREF _Toc223177158 \h </w:instrText>
            </w:r>
            <w:r w:rsidRPr="003013DE">
              <w:rPr>
                <w:noProof/>
                <w:webHidden/>
              </w:rPr>
            </w:r>
            <w:r w:rsidRPr="003013DE">
              <w:rPr>
                <w:noProof/>
                <w:webHidden/>
              </w:rPr>
              <w:fldChar w:fldCharType="separate"/>
            </w:r>
            <w:r w:rsidR="00F35382">
              <w:rPr>
                <w:noProof/>
                <w:webHidden/>
              </w:rPr>
              <w:t>57</w:t>
            </w:r>
            <w:r w:rsidRPr="003013DE">
              <w:rPr>
                <w:noProof/>
                <w:webHidden/>
              </w:rPr>
              <w:fldChar w:fldCharType="end"/>
            </w:r>
          </w:hyperlink>
        </w:p>
        <w:p w14:paraId="49EC5918" w14:textId="27ADBDEF" w:rsidR="003013DE" w:rsidRPr="003013DE" w:rsidRDefault="003013DE">
          <w:pPr>
            <w:pStyle w:val="TDC3"/>
            <w:rPr>
              <w:rFonts w:eastAsiaTheme="minorEastAsia"/>
              <w:noProof/>
              <w:lang w:eastAsia="es-CR"/>
            </w:rPr>
          </w:pPr>
          <w:hyperlink w:anchor="_Toc223177159" w:history="1">
            <w:r w:rsidRPr="003013DE">
              <w:rPr>
                <w:rStyle w:val="Hipervnculo"/>
                <w:rFonts w:ascii="Times New Roman" w:hAnsi="Times New Roman" w:cs="Times New Roman"/>
                <w:noProof/>
              </w:rPr>
              <w:t>2.8.1 Alteraciones del microbiota intestinal en la enfermedad de Alzheimer</w:t>
            </w:r>
            <w:r w:rsidRPr="003013DE">
              <w:rPr>
                <w:noProof/>
                <w:webHidden/>
              </w:rPr>
              <w:tab/>
            </w:r>
            <w:r w:rsidRPr="003013DE">
              <w:rPr>
                <w:noProof/>
                <w:webHidden/>
              </w:rPr>
              <w:fldChar w:fldCharType="begin"/>
            </w:r>
            <w:r w:rsidRPr="003013DE">
              <w:rPr>
                <w:noProof/>
                <w:webHidden/>
              </w:rPr>
              <w:instrText xml:space="preserve"> PAGEREF _Toc223177159 \h </w:instrText>
            </w:r>
            <w:r w:rsidRPr="003013DE">
              <w:rPr>
                <w:noProof/>
                <w:webHidden/>
              </w:rPr>
            </w:r>
            <w:r w:rsidRPr="003013DE">
              <w:rPr>
                <w:noProof/>
                <w:webHidden/>
              </w:rPr>
              <w:fldChar w:fldCharType="separate"/>
            </w:r>
            <w:r w:rsidR="00F35382">
              <w:rPr>
                <w:noProof/>
                <w:webHidden/>
              </w:rPr>
              <w:t>58</w:t>
            </w:r>
            <w:r w:rsidRPr="003013DE">
              <w:rPr>
                <w:noProof/>
                <w:webHidden/>
              </w:rPr>
              <w:fldChar w:fldCharType="end"/>
            </w:r>
          </w:hyperlink>
        </w:p>
        <w:p w14:paraId="0B22B92D" w14:textId="1FA164DE" w:rsidR="003013DE" w:rsidRPr="003013DE" w:rsidRDefault="003013DE">
          <w:pPr>
            <w:pStyle w:val="TDC3"/>
            <w:rPr>
              <w:rFonts w:eastAsiaTheme="minorEastAsia"/>
              <w:noProof/>
              <w:lang w:eastAsia="es-CR"/>
            </w:rPr>
          </w:pPr>
          <w:hyperlink w:anchor="_Toc223177160" w:history="1">
            <w:r w:rsidRPr="003013DE">
              <w:rPr>
                <w:rStyle w:val="Hipervnculo"/>
                <w:rFonts w:ascii="Times New Roman" w:hAnsi="Times New Roman" w:cs="Times New Roman"/>
                <w:noProof/>
              </w:rPr>
              <w:t>2.8.2 Microbiota intestinal y acumulación de β-amiloide</w:t>
            </w:r>
            <w:r w:rsidRPr="003013DE">
              <w:rPr>
                <w:noProof/>
                <w:webHidden/>
              </w:rPr>
              <w:tab/>
            </w:r>
            <w:r w:rsidRPr="003013DE">
              <w:rPr>
                <w:noProof/>
                <w:webHidden/>
              </w:rPr>
              <w:fldChar w:fldCharType="begin"/>
            </w:r>
            <w:r w:rsidRPr="003013DE">
              <w:rPr>
                <w:noProof/>
                <w:webHidden/>
              </w:rPr>
              <w:instrText xml:space="preserve"> PAGEREF _Toc223177160 \h </w:instrText>
            </w:r>
            <w:r w:rsidRPr="003013DE">
              <w:rPr>
                <w:noProof/>
                <w:webHidden/>
              </w:rPr>
            </w:r>
            <w:r w:rsidRPr="003013DE">
              <w:rPr>
                <w:noProof/>
                <w:webHidden/>
              </w:rPr>
              <w:fldChar w:fldCharType="separate"/>
            </w:r>
            <w:r w:rsidR="00F35382">
              <w:rPr>
                <w:noProof/>
                <w:webHidden/>
              </w:rPr>
              <w:t>58</w:t>
            </w:r>
            <w:r w:rsidRPr="003013DE">
              <w:rPr>
                <w:noProof/>
                <w:webHidden/>
              </w:rPr>
              <w:fldChar w:fldCharType="end"/>
            </w:r>
          </w:hyperlink>
        </w:p>
        <w:p w14:paraId="4E26A373" w14:textId="6B337ED7" w:rsidR="003013DE" w:rsidRPr="003013DE" w:rsidRDefault="003013DE">
          <w:pPr>
            <w:pStyle w:val="TDC3"/>
            <w:rPr>
              <w:rFonts w:eastAsiaTheme="minorEastAsia"/>
              <w:noProof/>
              <w:lang w:eastAsia="es-CR"/>
            </w:rPr>
          </w:pPr>
          <w:hyperlink w:anchor="_Toc223177161" w:history="1">
            <w:r w:rsidRPr="003013DE">
              <w:rPr>
                <w:rStyle w:val="Hipervnculo"/>
                <w:rFonts w:ascii="Times New Roman" w:hAnsi="Times New Roman" w:cs="Times New Roman"/>
                <w:noProof/>
              </w:rPr>
              <w:t>2.8.3 Disbiosis intestinal, neuroinflamación y activación microglial en la EA</w:t>
            </w:r>
            <w:r w:rsidRPr="003013DE">
              <w:rPr>
                <w:noProof/>
                <w:webHidden/>
              </w:rPr>
              <w:tab/>
            </w:r>
            <w:r w:rsidRPr="003013DE">
              <w:rPr>
                <w:noProof/>
                <w:webHidden/>
              </w:rPr>
              <w:fldChar w:fldCharType="begin"/>
            </w:r>
            <w:r w:rsidRPr="003013DE">
              <w:rPr>
                <w:noProof/>
                <w:webHidden/>
              </w:rPr>
              <w:instrText xml:space="preserve"> PAGEREF _Toc223177161 \h </w:instrText>
            </w:r>
            <w:r w:rsidRPr="003013DE">
              <w:rPr>
                <w:noProof/>
                <w:webHidden/>
              </w:rPr>
            </w:r>
            <w:r w:rsidRPr="003013DE">
              <w:rPr>
                <w:noProof/>
                <w:webHidden/>
              </w:rPr>
              <w:fldChar w:fldCharType="separate"/>
            </w:r>
            <w:r w:rsidR="00F35382">
              <w:rPr>
                <w:noProof/>
                <w:webHidden/>
              </w:rPr>
              <w:t>59</w:t>
            </w:r>
            <w:r w:rsidRPr="003013DE">
              <w:rPr>
                <w:noProof/>
                <w:webHidden/>
              </w:rPr>
              <w:fldChar w:fldCharType="end"/>
            </w:r>
          </w:hyperlink>
        </w:p>
        <w:p w14:paraId="3B596425" w14:textId="5F0853F3" w:rsidR="003013DE" w:rsidRPr="003013DE" w:rsidRDefault="003013DE">
          <w:pPr>
            <w:pStyle w:val="TDC3"/>
            <w:rPr>
              <w:rFonts w:eastAsiaTheme="minorEastAsia"/>
              <w:noProof/>
              <w:lang w:eastAsia="es-CR"/>
            </w:rPr>
          </w:pPr>
          <w:hyperlink w:anchor="_Toc223177162" w:history="1">
            <w:r w:rsidRPr="003013DE">
              <w:rPr>
                <w:rStyle w:val="Hipervnculo"/>
                <w:rFonts w:ascii="Times New Roman" w:hAnsi="Times New Roman" w:cs="Times New Roman"/>
                <w:noProof/>
              </w:rPr>
              <w:t>2.8.4 Impacto del microbiota intestinal en el deterioro cognitivo</w:t>
            </w:r>
            <w:r w:rsidRPr="003013DE">
              <w:rPr>
                <w:noProof/>
                <w:webHidden/>
              </w:rPr>
              <w:tab/>
            </w:r>
            <w:r w:rsidRPr="003013DE">
              <w:rPr>
                <w:noProof/>
                <w:webHidden/>
              </w:rPr>
              <w:fldChar w:fldCharType="begin"/>
            </w:r>
            <w:r w:rsidRPr="003013DE">
              <w:rPr>
                <w:noProof/>
                <w:webHidden/>
              </w:rPr>
              <w:instrText xml:space="preserve"> PAGEREF _Toc223177162 \h </w:instrText>
            </w:r>
            <w:r w:rsidRPr="003013DE">
              <w:rPr>
                <w:noProof/>
                <w:webHidden/>
              </w:rPr>
            </w:r>
            <w:r w:rsidRPr="003013DE">
              <w:rPr>
                <w:noProof/>
                <w:webHidden/>
              </w:rPr>
              <w:fldChar w:fldCharType="separate"/>
            </w:r>
            <w:r w:rsidR="00F35382">
              <w:rPr>
                <w:noProof/>
                <w:webHidden/>
              </w:rPr>
              <w:t>59</w:t>
            </w:r>
            <w:r w:rsidRPr="003013DE">
              <w:rPr>
                <w:noProof/>
                <w:webHidden/>
              </w:rPr>
              <w:fldChar w:fldCharType="end"/>
            </w:r>
          </w:hyperlink>
        </w:p>
        <w:p w14:paraId="6F63B276" w14:textId="7DB97A3A" w:rsidR="003013DE" w:rsidRPr="003013DE" w:rsidRDefault="003013DE">
          <w:pPr>
            <w:pStyle w:val="TDC2"/>
            <w:tabs>
              <w:tab w:val="right" w:leader="dot" w:pos="8828"/>
            </w:tabs>
            <w:rPr>
              <w:rFonts w:eastAsiaTheme="minorEastAsia"/>
              <w:noProof/>
              <w:lang w:eastAsia="es-CR"/>
            </w:rPr>
          </w:pPr>
          <w:hyperlink w:anchor="_Toc223177163" w:history="1">
            <w:r w:rsidRPr="003013DE">
              <w:rPr>
                <w:rStyle w:val="Hipervnculo"/>
                <w:rFonts w:ascii="Times New Roman" w:hAnsi="Times New Roman" w:cs="Times New Roman"/>
                <w:noProof/>
              </w:rPr>
              <w:t>2.9. Relación entre microbiota intestinal y enfermedad de Parkinson</w:t>
            </w:r>
            <w:r w:rsidRPr="003013DE">
              <w:rPr>
                <w:noProof/>
                <w:webHidden/>
              </w:rPr>
              <w:tab/>
            </w:r>
            <w:r w:rsidRPr="003013DE">
              <w:rPr>
                <w:noProof/>
                <w:webHidden/>
              </w:rPr>
              <w:fldChar w:fldCharType="begin"/>
            </w:r>
            <w:r w:rsidRPr="003013DE">
              <w:rPr>
                <w:noProof/>
                <w:webHidden/>
              </w:rPr>
              <w:instrText xml:space="preserve"> PAGEREF _Toc223177163 \h </w:instrText>
            </w:r>
            <w:r w:rsidRPr="003013DE">
              <w:rPr>
                <w:noProof/>
                <w:webHidden/>
              </w:rPr>
            </w:r>
            <w:r w:rsidRPr="003013DE">
              <w:rPr>
                <w:noProof/>
                <w:webHidden/>
              </w:rPr>
              <w:fldChar w:fldCharType="separate"/>
            </w:r>
            <w:r w:rsidR="00F35382">
              <w:rPr>
                <w:noProof/>
                <w:webHidden/>
              </w:rPr>
              <w:t>59</w:t>
            </w:r>
            <w:r w:rsidRPr="003013DE">
              <w:rPr>
                <w:noProof/>
                <w:webHidden/>
              </w:rPr>
              <w:fldChar w:fldCharType="end"/>
            </w:r>
          </w:hyperlink>
        </w:p>
        <w:p w14:paraId="5EC23C98" w14:textId="577574CB" w:rsidR="003013DE" w:rsidRPr="003013DE" w:rsidRDefault="003013DE">
          <w:pPr>
            <w:pStyle w:val="TDC3"/>
            <w:rPr>
              <w:rFonts w:eastAsiaTheme="minorEastAsia"/>
              <w:noProof/>
              <w:lang w:eastAsia="es-CR"/>
            </w:rPr>
          </w:pPr>
          <w:hyperlink w:anchor="_Toc223177164" w:history="1">
            <w:r w:rsidRPr="003013DE">
              <w:rPr>
                <w:rStyle w:val="Hipervnculo"/>
                <w:rFonts w:ascii="Times New Roman" w:hAnsi="Times New Roman" w:cs="Times New Roman"/>
                <w:noProof/>
              </w:rPr>
              <w:t>2.9.1 Alteraciones del microbiota intestinal en la patogénesis del Parkinson</w:t>
            </w:r>
            <w:r w:rsidRPr="003013DE">
              <w:rPr>
                <w:noProof/>
                <w:webHidden/>
              </w:rPr>
              <w:tab/>
            </w:r>
            <w:r w:rsidRPr="003013DE">
              <w:rPr>
                <w:noProof/>
                <w:webHidden/>
              </w:rPr>
              <w:fldChar w:fldCharType="begin"/>
            </w:r>
            <w:r w:rsidRPr="003013DE">
              <w:rPr>
                <w:noProof/>
                <w:webHidden/>
              </w:rPr>
              <w:instrText xml:space="preserve"> PAGEREF _Toc223177164 \h </w:instrText>
            </w:r>
            <w:r w:rsidRPr="003013DE">
              <w:rPr>
                <w:noProof/>
                <w:webHidden/>
              </w:rPr>
            </w:r>
            <w:r w:rsidRPr="003013DE">
              <w:rPr>
                <w:noProof/>
                <w:webHidden/>
              </w:rPr>
              <w:fldChar w:fldCharType="separate"/>
            </w:r>
            <w:r w:rsidR="00F35382">
              <w:rPr>
                <w:noProof/>
                <w:webHidden/>
              </w:rPr>
              <w:t>60</w:t>
            </w:r>
            <w:r w:rsidRPr="003013DE">
              <w:rPr>
                <w:noProof/>
                <w:webHidden/>
              </w:rPr>
              <w:fldChar w:fldCharType="end"/>
            </w:r>
          </w:hyperlink>
        </w:p>
        <w:p w14:paraId="5C9B8A6E" w14:textId="53181B1F" w:rsidR="003013DE" w:rsidRPr="003013DE" w:rsidRDefault="003013DE">
          <w:pPr>
            <w:pStyle w:val="TDC3"/>
            <w:rPr>
              <w:rFonts w:eastAsiaTheme="minorEastAsia"/>
              <w:noProof/>
              <w:lang w:eastAsia="es-CR"/>
            </w:rPr>
          </w:pPr>
          <w:hyperlink w:anchor="_Toc223177165" w:history="1">
            <w:r w:rsidRPr="003013DE">
              <w:rPr>
                <w:rStyle w:val="Hipervnculo"/>
                <w:rFonts w:ascii="Times New Roman" w:hAnsi="Times New Roman" w:cs="Times New Roman"/>
                <w:noProof/>
              </w:rPr>
              <w:t>2.9.2 Papel de la α-sinucleína y su relación con el microbiota intestinal</w:t>
            </w:r>
            <w:r w:rsidRPr="003013DE">
              <w:rPr>
                <w:noProof/>
                <w:webHidden/>
              </w:rPr>
              <w:tab/>
            </w:r>
            <w:r w:rsidRPr="003013DE">
              <w:rPr>
                <w:noProof/>
                <w:webHidden/>
              </w:rPr>
              <w:fldChar w:fldCharType="begin"/>
            </w:r>
            <w:r w:rsidRPr="003013DE">
              <w:rPr>
                <w:noProof/>
                <w:webHidden/>
              </w:rPr>
              <w:instrText xml:space="preserve"> PAGEREF _Toc223177165 \h </w:instrText>
            </w:r>
            <w:r w:rsidRPr="003013DE">
              <w:rPr>
                <w:noProof/>
                <w:webHidden/>
              </w:rPr>
            </w:r>
            <w:r w:rsidRPr="003013DE">
              <w:rPr>
                <w:noProof/>
                <w:webHidden/>
              </w:rPr>
              <w:fldChar w:fldCharType="separate"/>
            </w:r>
            <w:r w:rsidR="00F35382">
              <w:rPr>
                <w:noProof/>
                <w:webHidden/>
              </w:rPr>
              <w:t>60</w:t>
            </w:r>
            <w:r w:rsidRPr="003013DE">
              <w:rPr>
                <w:noProof/>
                <w:webHidden/>
              </w:rPr>
              <w:fldChar w:fldCharType="end"/>
            </w:r>
          </w:hyperlink>
        </w:p>
        <w:p w14:paraId="561A776D" w14:textId="39A05BEB" w:rsidR="003013DE" w:rsidRPr="003013DE" w:rsidRDefault="003013DE">
          <w:pPr>
            <w:pStyle w:val="TDC3"/>
            <w:rPr>
              <w:rFonts w:eastAsiaTheme="minorEastAsia"/>
              <w:noProof/>
              <w:lang w:eastAsia="es-CR"/>
            </w:rPr>
          </w:pPr>
          <w:hyperlink w:anchor="_Toc223177166" w:history="1">
            <w:r w:rsidRPr="003013DE">
              <w:rPr>
                <w:rStyle w:val="Hipervnculo"/>
                <w:rFonts w:ascii="Times New Roman" w:hAnsi="Times New Roman" w:cs="Times New Roman"/>
                <w:noProof/>
              </w:rPr>
              <w:t>2.9.3 Alteraciones gastrointestinales tempranas en la enfermedad de Parkinson</w:t>
            </w:r>
            <w:r w:rsidRPr="003013DE">
              <w:rPr>
                <w:noProof/>
                <w:webHidden/>
              </w:rPr>
              <w:tab/>
            </w:r>
            <w:r w:rsidRPr="003013DE">
              <w:rPr>
                <w:noProof/>
                <w:webHidden/>
              </w:rPr>
              <w:fldChar w:fldCharType="begin"/>
            </w:r>
            <w:r w:rsidRPr="003013DE">
              <w:rPr>
                <w:noProof/>
                <w:webHidden/>
              </w:rPr>
              <w:instrText xml:space="preserve"> PAGEREF _Toc223177166 \h </w:instrText>
            </w:r>
            <w:r w:rsidRPr="003013DE">
              <w:rPr>
                <w:noProof/>
                <w:webHidden/>
              </w:rPr>
            </w:r>
            <w:r w:rsidRPr="003013DE">
              <w:rPr>
                <w:noProof/>
                <w:webHidden/>
              </w:rPr>
              <w:fldChar w:fldCharType="separate"/>
            </w:r>
            <w:r w:rsidR="00F35382">
              <w:rPr>
                <w:noProof/>
                <w:webHidden/>
              </w:rPr>
              <w:t>61</w:t>
            </w:r>
            <w:r w:rsidRPr="003013DE">
              <w:rPr>
                <w:noProof/>
                <w:webHidden/>
              </w:rPr>
              <w:fldChar w:fldCharType="end"/>
            </w:r>
          </w:hyperlink>
        </w:p>
        <w:p w14:paraId="506465CA" w14:textId="236FBD14" w:rsidR="003013DE" w:rsidRPr="003013DE" w:rsidRDefault="003013DE">
          <w:pPr>
            <w:pStyle w:val="TDC2"/>
            <w:tabs>
              <w:tab w:val="right" w:leader="dot" w:pos="8828"/>
            </w:tabs>
            <w:rPr>
              <w:rFonts w:eastAsiaTheme="minorEastAsia"/>
              <w:noProof/>
              <w:lang w:eastAsia="es-CR"/>
            </w:rPr>
          </w:pPr>
          <w:hyperlink w:anchor="_Toc223177167" w:history="1">
            <w:r w:rsidRPr="003013DE">
              <w:rPr>
                <w:rStyle w:val="Hipervnculo"/>
                <w:rFonts w:ascii="Times New Roman" w:hAnsi="Times New Roman" w:cs="Times New Roman"/>
                <w:noProof/>
              </w:rPr>
              <w:t>2.10. Relación entre microbiota intestinal y esclerosis múltiple</w:t>
            </w:r>
            <w:r w:rsidRPr="003013DE">
              <w:rPr>
                <w:noProof/>
                <w:webHidden/>
              </w:rPr>
              <w:tab/>
            </w:r>
            <w:r w:rsidRPr="003013DE">
              <w:rPr>
                <w:noProof/>
                <w:webHidden/>
              </w:rPr>
              <w:fldChar w:fldCharType="begin"/>
            </w:r>
            <w:r w:rsidRPr="003013DE">
              <w:rPr>
                <w:noProof/>
                <w:webHidden/>
              </w:rPr>
              <w:instrText xml:space="preserve"> PAGEREF _Toc223177167 \h </w:instrText>
            </w:r>
            <w:r w:rsidRPr="003013DE">
              <w:rPr>
                <w:noProof/>
                <w:webHidden/>
              </w:rPr>
            </w:r>
            <w:r w:rsidRPr="003013DE">
              <w:rPr>
                <w:noProof/>
                <w:webHidden/>
              </w:rPr>
              <w:fldChar w:fldCharType="separate"/>
            </w:r>
            <w:r w:rsidR="00F35382">
              <w:rPr>
                <w:noProof/>
                <w:webHidden/>
              </w:rPr>
              <w:t>62</w:t>
            </w:r>
            <w:r w:rsidRPr="003013DE">
              <w:rPr>
                <w:noProof/>
                <w:webHidden/>
              </w:rPr>
              <w:fldChar w:fldCharType="end"/>
            </w:r>
          </w:hyperlink>
        </w:p>
        <w:p w14:paraId="36A1E461" w14:textId="1AFD1DA2" w:rsidR="003013DE" w:rsidRPr="003013DE" w:rsidRDefault="003013DE">
          <w:pPr>
            <w:pStyle w:val="TDC3"/>
            <w:rPr>
              <w:rFonts w:eastAsiaTheme="minorEastAsia"/>
              <w:noProof/>
              <w:lang w:eastAsia="es-CR"/>
            </w:rPr>
          </w:pPr>
          <w:hyperlink w:anchor="_Toc223177168" w:history="1">
            <w:r w:rsidRPr="003013DE">
              <w:rPr>
                <w:rStyle w:val="Hipervnculo"/>
                <w:rFonts w:ascii="Times New Roman" w:hAnsi="Times New Roman" w:cs="Times New Roman"/>
                <w:noProof/>
              </w:rPr>
              <w:t>2.10.1 Alteraciones del microbiota intestinal en la esclerosis múltiple</w:t>
            </w:r>
            <w:r w:rsidRPr="003013DE">
              <w:rPr>
                <w:noProof/>
                <w:webHidden/>
              </w:rPr>
              <w:tab/>
            </w:r>
            <w:r w:rsidRPr="003013DE">
              <w:rPr>
                <w:noProof/>
                <w:webHidden/>
              </w:rPr>
              <w:fldChar w:fldCharType="begin"/>
            </w:r>
            <w:r w:rsidRPr="003013DE">
              <w:rPr>
                <w:noProof/>
                <w:webHidden/>
              </w:rPr>
              <w:instrText xml:space="preserve"> PAGEREF _Toc223177168 \h </w:instrText>
            </w:r>
            <w:r w:rsidRPr="003013DE">
              <w:rPr>
                <w:noProof/>
                <w:webHidden/>
              </w:rPr>
            </w:r>
            <w:r w:rsidRPr="003013DE">
              <w:rPr>
                <w:noProof/>
                <w:webHidden/>
              </w:rPr>
              <w:fldChar w:fldCharType="separate"/>
            </w:r>
            <w:r w:rsidR="00F35382">
              <w:rPr>
                <w:noProof/>
                <w:webHidden/>
              </w:rPr>
              <w:t>62</w:t>
            </w:r>
            <w:r w:rsidRPr="003013DE">
              <w:rPr>
                <w:noProof/>
                <w:webHidden/>
              </w:rPr>
              <w:fldChar w:fldCharType="end"/>
            </w:r>
          </w:hyperlink>
        </w:p>
        <w:p w14:paraId="7BC32996" w14:textId="2AAE7250" w:rsidR="003013DE" w:rsidRPr="003013DE" w:rsidRDefault="003013DE">
          <w:pPr>
            <w:pStyle w:val="TDC3"/>
            <w:rPr>
              <w:rFonts w:eastAsiaTheme="minorEastAsia"/>
              <w:noProof/>
              <w:lang w:eastAsia="es-CR"/>
            </w:rPr>
          </w:pPr>
          <w:hyperlink w:anchor="_Toc223177169" w:history="1">
            <w:r w:rsidRPr="003013DE">
              <w:rPr>
                <w:rStyle w:val="Hipervnculo"/>
                <w:rFonts w:ascii="Times New Roman" w:hAnsi="Times New Roman" w:cs="Times New Roman"/>
                <w:noProof/>
              </w:rPr>
              <w:t>2.10.2 Mecanismos inmunológicos: pérdida de tolerancia y activación autoinmune</w:t>
            </w:r>
            <w:r w:rsidRPr="003013DE">
              <w:rPr>
                <w:noProof/>
                <w:webHidden/>
              </w:rPr>
              <w:tab/>
            </w:r>
            <w:r w:rsidRPr="003013DE">
              <w:rPr>
                <w:noProof/>
                <w:webHidden/>
              </w:rPr>
              <w:fldChar w:fldCharType="begin"/>
            </w:r>
            <w:r w:rsidRPr="003013DE">
              <w:rPr>
                <w:noProof/>
                <w:webHidden/>
              </w:rPr>
              <w:instrText xml:space="preserve"> PAGEREF _Toc223177169 \h </w:instrText>
            </w:r>
            <w:r w:rsidRPr="003013DE">
              <w:rPr>
                <w:noProof/>
                <w:webHidden/>
              </w:rPr>
            </w:r>
            <w:r w:rsidRPr="003013DE">
              <w:rPr>
                <w:noProof/>
                <w:webHidden/>
              </w:rPr>
              <w:fldChar w:fldCharType="separate"/>
            </w:r>
            <w:r w:rsidR="00F35382">
              <w:rPr>
                <w:noProof/>
                <w:webHidden/>
              </w:rPr>
              <w:t>63</w:t>
            </w:r>
            <w:r w:rsidRPr="003013DE">
              <w:rPr>
                <w:noProof/>
                <w:webHidden/>
              </w:rPr>
              <w:fldChar w:fldCharType="end"/>
            </w:r>
          </w:hyperlink>
        </w:p>
        <w:p w14:paraId="091F6338" w14:textId="7C770278" w:rsidR="003013DE" w:rsidRPr="003013DE" w:rsidRDefault="003013DE">
          <w:pPr>
            <w:pStyle w:val="TDC3"/>
            <w:rPr>
              <w:rFonts w:eastAsiaTheme="minorEastAsia"/>
              <w:noProof/>
              <w:lang w:eastAsia="es-CR"/>
            </w:rPr>
          </w:pPr>
          <w:hyperlink w:anchor="_Toc223177170" w:history="1">
            <w:r w:rsidRPr="003013DE">
              <w:rPr>
                <w:rStyle w:val="Hipervnculo"/>
                <w:rFonts w:ascii="Times New Roman" w:hAnsi="Times New Roman" w:cs="Times New Roman"/>
                <w:noProof/>
              </w:rPr>
              <w:t>2.10.3 Inflamación sistémica y disfunción de la barrera intestinal</w:t>
            </w:r>
            <w:r w:rsidRPr="003013DE">
              <w:rPr>
                <w:noProof/>
                <w:webHidden/>
              </w:rPr>
              <w:tab/>
            </w:r>
            <w:r w:rsidRPr="003013DE">
              <w:rPr>
                <w:noProof/>
                <w:webHidden/>
              </w:rPr>
              <w:fldChar w:fldCharType="begin"/>
            </w:r>
            <w:r w:rsidRPr="003013DE">
              <w:rPr>
                <w:noProof/>
                <w:webHidden/>
              </w:rPr>
              <w:instrText xml:space="preserve"> PAGEREF _Toc223177170 \h </w:instrText>
            </w:r>
            <w:r w:rsidRPr="003013DE">
              <w:rPr>
                <w:noProof/>
                <w:webHidden/>
              </w:rPr>
            </w:r>
            <w:r w:rsidRPr="003013DE">
              <w:rPr>
                <w:noProof/>
                <w:webHidden/>
              </w:rPr>
              <w:fldChar w:fldCharType="separate"/>
            </w:r>
            <w:r w:rsidR="00F35382">
              <w:rPr>
                <w:noProof/>
                <w:webHidden/>
              </w:rPr>
              <w:t>63</w:t>
            </w:r>
            <w:r w:rsidRPr="003013DE">
              <w:rPr>
                <w:noProof/>
                <w:webHidden/>
              </w:rPr>
              <w:fldChar w:fldCharType="end"/>
            </w:r>
          </w:hyperlink>
        </w:p>
        <w:p w14:paraId="142E1B69" w14:textId="20B64620" w:rsidR="003013DE" w:rsidRPr="003013DE" w:rsidRDefault="003013DE">
          <w:pPr>
            <w:pStyle w:val="TDC3"/>
            <w:rPr>
              <w:rFonts w:eastAsiaTheme="minorEastAsia"/>
              <w:noProof/>
              <w:lang w:eastAsia="es-CR"/>
            </w:rPr>
          </w:pPr>
          <w:hyperlink w:anchor="_Toc223177171" w:history="1">
            <w:r w:rsidRPr="003013DE">
              <w:rPr>
                <w:rStyle w:val="Hipervnculo"/>
                <w:rFonts w:ascii="Times New Roman" w:hAnsi="Times New Roman" w:cs="Times New Roman"/>
                <w:noProof/>
              </w:rPr>
              <w:t>2.10.4 Mecanismos metabólicos: papel de los metabolitos microbianos</w:t>
            </w:r>
            <w:r w:rsidRPr="003013DE">
              <w:rPr>
                <w:noProof/>
                <w:webHidden/>
              </w:rPr>
              <w:tab/>
            </w:r>
            <w:r w:rsidRPr="003013DE">
              <w:rPr>
                <w:noProof/>
                <w:webHidden/>
              </w:rPr>
              <w:fldChar w:fldCharType="begin"/>
            </w:r>
            <w:r w:rsidRPr="003013DE">
              <w:rPr>
                <w:noProof/>
                <w:webHidden/>
              </w:rPr>
              <w:instrText xml:space="preserve"> PAGEREF _Toc223177171 \h </w:instrText>
            </w:r>
            <w:r w:rsidRPr="003013DE">
              <w:rPr>
                <w:noProof/>
                <w:webHidden/>
              </w:rPr>
            </w:r>
            <w:r w:rsidRPr="003013DE">
              <w:rPr>
                <w:noProof/>
                <w:webHidden/>
              </w:rPr>
              <w:fldChar w:fldCharType="separate"/>
            </w:r>
            <w:r w:rsidR="00F35382">
              <w:rPr>
                <w:noProof/>
                <w:webHidden/>
              </w:rPr>
              <w:t>64</w:t>
            </w:r>
            <w:r w:rsidRPr="003013DE">
              <w:rPr>
                <w:noProof/>
                <w:webHidden/>
              </w:rPr>
              <w:fldChar w:fldCharType="end"/>
            </w:r>
          </w:hyperlink>
        </w:p>
        <w:p w14:paraId="47DE4A3C" w14:textId="052A8372" w:rsidR="003013DE" w:rsidRPr="003013DE" w:rsidRDefault="003013DE">
          <w:pPr>
            <w:pStyle w:val="TDC2"/>
            <w:tabs>
              <w:tab w:val="right" w:leader="dot" w:pos="8828"/>
            </w:tabs>
            <w:rPr>
              <w:rFonts w:eastAsiaTheme="minorEastAsia"/>
              <w:noProof/>
              <w:lang w:eastAsia="es-CR"/>
            </w:rPr>
          </w:pPr>
          <w:hyperlink w:anchor="_Toc223177172" w:history="1">
            <w:r w:rsidRPr="003013DE">
              <w:rPr>
                <w:rStyle w:val="Hipervnculo"/>
                <w:rFonts w:ascii="Times New Roman" w:hAnsi="Times New Roman" w:cs="Times New Roman"/>
                <w:noProof/>
              </w:rPr>
              <w:t>2.11. Factores dietéticos y estilo de vida que modulan el microbiota intestinal</w:t>
            </w:r>
            <w:r w:rsidRPr="003013DE">
              <w:rPr>
                <w:noProof/>
                <w:webHidden/>
              </w:rPr>
              <w:tab/>
            </w:r>
            <w:r w:rsidRPr="003013DE">
              <w:rPr>
                <w:noProof/>
                <w:webHidden/>
              </w:rPr>
              <w:fldChar w:fldCharType="begin"/>
            </w:r>
            <w:r w:rsidRPr="003013DE">
              <w:rPr>
                <w:noProof/>
                <w:webHidden/>
              </w:rPr>
              <w:instrText xml:space="preserve"> PAGEREF _Toc223177172 \h </w:instrText>
            </w:r>
            <w:r w:rsidRPr="003013DE">
              <w:rPr>
                <w:noProof/>
                <w:webHidden/>
              </w:rPr>
            </w:r>
            <w:r w:rsidRPr="003013DE">
              <w:rPr>
                <w:noProof/>
                <w:webHidden/>
              </w:rPr>
              <w:fldChar w:fldCharType="separate"/>
            </w:r>
            <w:r w:rsidR="00F35382">
              <w:rPr>
                <w:noProof/>
                <w:webHidden/>
              </w:rPr>
              <w:t>65</w:t>
            </w:r>
            <w:r w:rsidRPr="003013DE">
              <w:rPr>
                <w:noProof/>
                <w:webHidden/>
              </w:rPr>
              <w:fldChar w:fldCharType="end"/>
            </w:r>
          </w:hyperlink>
        </w:p>
        <w:p w14:paraId="35D2B764" w14:textId="116EE0FB" w:rsidR="003013DE" w:rsidRPr="003013DE" w:rsidRDefault="003013DE">
          <w:pPr>
            <w:pStyle w:val="TDC3"/>
            <w:rPr>
              <w:rFonts w:eastAsiaTheme="minorEastAsia"/>
              <w:noProof/>
              <w:lang w:eastAsia="es-CR"/>
            </w:rPr>
          </w:pPr>
          <w:hyperlink w:anchor="_Toc223177173" w:history="1">
            <w:r w:rsidRPr="003013DE">
              <w:rPr>
                <w:rStyle w:val="Hipervnculo"/>
                <w:rFonts w:ascii="Times New Roman" w:hAnsi="Times New Roman" w:cs="Times New Roman"/>
                <w:noProof/>
              </w:rPr>
              <w:t>2.11.1 Dieta mediterránea y microbiota intestinal</w:t>
            </w:r>
            <w:r w:rsidRPr="003013DE">
              <w:rPr>
                <w:noProof/>
                <w:webHidden/>
              </w:rPr>
              <w:tab/>
            </w:r>
            <w:r w:rsidRPr="003013DE">
              <w:rPr>
                <w:noProof/>
                <w:webHidden/>
              </w:rPr>
              <w:fldChar w:fldCharType="begin"/>
            </w:r>
            <w:r w:rsidRPr="003013DE">
              <w:rPr>
                <w:noProof/>
                <w:webHidden/>
              </w:rPr>
              <w:instrText xml:space="preserve"> PAGEREF _Toc223177173 \h </w:instrText>
            </w:r>
            <w:r w:rsidRPr="003013DE">
              <w:rPr>
                <w:noProof/>
                <w:webHidden/>
              </w:rPr>
            </w:r>
            <w:r w:rsidRPr="003013DE">
              <w:rPr>
                <w:noProof/>
                <w:webHidden/>
              </w:rPr>
              <w:fldChar w:fldCharType="separate"/>
            </w:r>
            <w:r w:rsidR="00F35382">
              <w:rPr>
                <w:noProof/>
                <w:webHidden/>
              </w:rPr>
              <w:t>65</w:t>
            </w:r>
            <w:r w:rsidRPr="003013DE">
              <w:rPr>
                <w:noProof/>
                <w:webHidden/>
              </w:rPr>
              <w:fldChar w:fldCharType="end"/>
            </w:r>
          </w:hyperlink>
        </w:p>
        <w:p w14:paraId="6FD237C4" w14:textId="23642AE9" w:rsidR="003013DE" w:rsidRPr="003013DE" w:rsidRDefault="003013DE">
          <w:pPr>
            <w:pStyle w:val="TDC3"/>
            <w:rPr>
              <w:rFonts w:eastAsiaTheme="minorEastAsia"/>
              <w:noProof/>
              <w:lang w:eastAsia="es-CR"/>
            </w:rPr>
          </w:pPr>
          <w:hyperlink w:anchor="_Toc223177174" w:history="1">
            <w:r w:rsidRPr="003013DE">
              <w:rPr>
                <w:rStyle w:val="Hipervnculo"/>
                <w:rFonts w:ascii="Times New Roman" w:hAnsi="Times New Roman" w:cs="Times New Roman"/>
                <w:noProof/>
              </w:rPr>
              <w:t>2.11.2 Consumo de fibra dietética y producción de metabolitos beneficiosos</w:t>
            </w:r>
            <w:r w:rsidRPr="003013DE">
              <w:rPr>
                <w:noProof/>
                <w:webHidden/>
              </w:rPr>
              <w:tab/>
            </w:r>
            <w:r w:rsidRPr="003013DE">
              <w:rPr>
                <w:noProof/>
                <w:webHidden/>
              </w:rPr>
              <w:fldChar w:fldCharType="begin"/>
            </w:r>
            <w:r w:rsidRPr="003013DE">
              <w:rPr>
                <w:noProof/>
                <w:webHidden/>
              </w:rPr>
              <w:instrText xml:space="preserve"> PAGEREF _Toc223177174 \h </w:instrText>
            </w:r>
            <w:r w:rsidRPr="003013DE">
              <w:rPr>
                <w:noProof/>
                <w:webHidden/>
              </w:rPr>
            </w:r>
            <w:r w:rsidRPr="003013DE">
              <w:rPr>
                <w:noProof/>
                <w:webHidden/>
              </w:rPr>
              <w:fldChar w:fldCharType="separate"/>
            </w:r>
            <w:r w:rsidR="00F35382">
              <w:rPr>
                <w:noProof/>
                <w:webHidden/>
              </w:rPr>
              <w:t>66</w:t>
            </w:r>
            <w:r w:rsidRPr="003013DE">
              <w:rPr>
                <w:noProof/>
                <w:webHidden/>
              </w:rPr>
              <w:fldChar w:fldCharType="end"/>
            </w:r>
          </w:hyperlink>
        </w:p>
        <w:p w14:paraId="6EB23C22" w14:textId="1F4AD901" w:rsidR="003013DE" w:rsidRPr="003013DE" w:rsidRDefault="003013DE">
          <w:pPr>
            <w:pStyle w:val="TDC3"/>
            <w:rPr>
              <w:rFonts w:eastAsiaTheme="minorEastAsia"/>
              <w:noProof/>
              <w:lang w:eastAsia="es-CR"/>
            </w:rPr>
          </w:pPr>
          <w:hyperlink w:anchor="_Toc223177175" w:history="1">
            <w:r w:rsidRPr="003013DE">
              <w:rPr>
                <w:rStyle w:val="Hipervnculo"/>
                <w:rFonts w:ascii="Times New Roman" w:hAnsi="Times New Roman" w:cs="Times New Roman"/>
                <w:noProof/>
              </w:rPr>
              <w:t>2.11.3 Probióticos y su impacto en la salud intestinal</w:t>
            </w:r>
            <w:r w:rsidRPr="003013DE">
              <w:rPr>
                <w:noProof/>
                <w:webHidden/>
              </w:rPr>
              <w:tab/>
            </w:r>
            <w:r w:rsidRPr="003013DE">
              <w:rPr>
                <w:noProof/>
                <w:webHidden/>
              </w:rPr>
              <w:fldChar w:fldCharType="begin"/>
            </w:r>
            <w:r w:rsidRPr="003013DE">
              <w:rPr>
                <w:noProof/>
                <w:webHidden/>
              </w:rPr>
              <w:instrText xml:space="preserve"> PAGEREF _Toc223177175 \h </w:instrText>
            </w:r>
            <w:r w:rsidRPr="003013DE">
              <w:rPr>
                <w:noProof/>
                <w:webHidden/>
              </w:rPr>
            </w:r>
            <w:r w:rsidRPr="003013DE">
              <w:rPr>
                <w:noProof/>
                <w:webHidden/>
              </w:rPr>
              <w:fldChar w:fldCharType="separate"/>
            </w:r>
            <w:r w:rsidR="00F35382">
              <w:rPr>
                <w:noProof/>
                <w:webHidden/>
              </w:rPr>
              <w:t>66</w:t>
            </w:r>
            <w:r w:rsidRPr="003013DE">
              <w:rPr>
                <w:noProof/>
                <w:webHidden/>
              </w:rPr>
              <w:fldChar w:fldCharType="end"/>
            </w:r>
          </w:hyperlink>
        </w:p>
        <w:p w14:paraId="46B9CDC7" w14:textId="1617D0F7" w:rsidR="003013DE" w:rsidRPr="003013DE" w:rsidRDefault="003013DE">
          <w:pPr>
            <w:pStyle w:val="TDC3"/>
            <w:rPr>
              <w:rFonts w:eastAsiaTheme="minorEastAsia"/>
              <w:noProof/>
              <w:lang w:eastAsia="es-CR"/>
            </w:rPr>
          </w:pPr>
          <w:hyperlink w:anchor="_Toc223177176" w:history="1">
            <w:r w:rsidRPr="003013DE">
              <w:rPr>
                <w:rStyle w:val="Hipervnculo"/>
                <w:rFonts w:ascii="Times New Roman" w:hAnsi="Times New Roman" w:cs="Times New Roman"/>
                <w:noProof/>
              </w:rPr>
              <w:t>2.11.4 Prebióticos y sinergia con el microbiota intestinal</w:t>
            </w:r>
            <w:r w:rsidRPr="003013DE">
              <w:rPr>
                <w:noProof/>
                <w:webHidden/>
              </w:rPr>
              <w:tab/>
            </w:r>
            <w:r w:rsidRPr="003013DE">
              <w:rPr>
                <w:noProof/>
                <w:webHidden/>
              </w:rPr>
              <w:fldChar w:fldCharType="begin"/>
            </w:r>
            <w:r w:rsidRPr="003013DE">
              <w:rPr>
                <w:noProof/>
                <w:webHidden/>
              </w:rPr>
              <w:instrText xml:space="preserve"> PAGEREF _Toc223177176 \h </w:instrText>
            </w:r>
            <w:r w:rsidRPr="003013DE">
              <w:rPr>
                <w:noProof/>
                <w:webHidden/>
              </w:rPr>
            </w:r>
            <w:r w:rsidRPr="003013DE">
              <w:rPr>
                <w:noProof/>
                <w:webHidden/>
              </w:rPr>
              <w:fldChar w:fldCharType="separate"/>
            </w:r>
            <w:r w:rsidR="00F35382">
              <w:rPr>
                <w:noProof/>
                <w:webHidden/>
              </w:rPr>
              <w:t>66</w:t>
            </w:r>
            <w:r w:rsidRPr="003013DE">
              <w:rPr>
                <w:noProof/>
                <w:webHidden/>
              </w:rPr>
              <w:fldChar w:fldCharType="end"/>
            </w:r>
          </w:hyperlink>
        </w:p>
        <w:p w14:paraId="611814A5" w14:textId="7B260733" w:rsidR="003013DE" w:rsidRPr="003013DE" w:rsidRDefault="003013DE">
          <w:pPr>
            <w:pStyle w:val="TDC3"/>
            <w:rPr>
              <w:rFonts w:eastAsiaTheme="minorEastAsia"/>
              <w:noProof/>
              <w:lang w:eastAsia="es-CR"/>
            </w:rPr>
          </w:pPr>
          <w:hyperlink w:anchor="_Toc223177177" w:history="1">
            <w:r w:rsidRPr="003013DE">
              <w:rPr>
                <w:rStyle w:val="Hipervnculo"/>
                <w:rFonts w:ascii="Times New Roman" w:hAnsi="Times New Roman" w:cs="Times New Roman"/>
                <w:noProof/>
              </w:rPr>
              <w:t>2.11.5 Patrones alimentarios occidentales y disbiosis intestinal</w:t>
            </w:r>
            <w:r w:rsidRPr="003013DE">
              <w:rPr>
                <w:noProof/>
                <w:webHidden/>
              </w:rPr>
              <w:tab/>
            </w:r>
            <w:r w:rsidRPr="003013DE">
              <w:rPr>
                <w:noProof/>
                <w:webHidden/>
              </w:rPr>
              <w:fldChar w:fldCharType="begin"/>
            </w:r>
            <w:r w:rsidRPr="003013DE">
              <w:rPr>
                <w:noProof/>
                <w:webHidden/>
              </w:rPr>
              <w:instrText xml:space="preserve"> PAGEREF _Toc223177177 \h </w:instrText>
            </w:r>
            <w:r w:rsidRPr="003013DE">
              <w:rPr>
                <w:noProof/>
                <w:webHidden/>
              </w:rPr>
            </w:r>
            <w:r w:rsidRPr="003013DE">
              <w:rPr>
                <w:noProof/>
                <w:webHidden/>
              </w:rPr>
              <w:fldChar w:fldCharType="separate"/>
            </w:r>
            <w:r w:rsidR="00F35382">
              <w:rPr>
                <w:noProof/>
                <w:webHidden/>
              </w:rPr>
              <w:t>67</w:t>
            </w:r>
            <w:r w:rsidRPr="003013DE">
              <w:rPr>
                <w:noProof/>
                <w:webHidden/>
              </w:rPr>
              <w:fldChar w:fldCharType="end"/>
            </w:r>
          </w:hyperlink>
        </w:p>
        <w:p w14:paraId="73DCF779" w14:textId="7B975240" w:rsidR="003013DE" w:rsidRPr="003013DE" w:rsidRDefault="003013DE">
          <w:pPr>
            <w:pStyle w:val="TDC3"/>
            <w:rPr>
              <w:rFonts w:eastAsiaTheme="minorEastAsia"/>
              <w:noProof/>
              <w:lang w:eastAsia="es-CR"/>
            </w:rPr>
          </w:pPr>
          <w:hyperlink w:anchor="_Toc223177178" w:history="1">
            <w:r w:rsidRPr="003013DE">
              <w:rPr>
                <w:rStyle w:val="Hipervnculo"/>
                <w:rFonts w:ascii="Times New Roman" w:hAnsi="Times New Roman" w:cs="Times New Roman"/>
                <w:noProof/>
              </w:rPr>
              <w:t>2.11.6 Estilo de vida y su interacción con la dieta</w:t>
            </w:r>
            <w:r w:rsidRPr="003013DE">
              <w:rPr>
                <w:noProof/>
                <w:webHidden/>
              </w:rPr>
              <w:tab/>
            </w:r>
            <w:r w:rsidRPr="003013DE">
              <w:rPr>
                <w:noProof/>
                <w:webHidden/>
              </w:rPr>
              <w:fldChar w:fldCharType="begin"/>
            </w:r>
            <w:r w:rsidRPr="003013DE">
              <w:rPr>
                <w:noProof/>
                <w:webHidden/>
              </w:rPr>
              <w:instrText xml:space="preserve"> PAGEREF _Toc223177178 \h </w:instrText>
            </w:r>
            <w:r w:rsidRPr="003013DE">
              <w:rPr>
                <w:noProof/>
                <w:webHidden/>
              </w:rPr>
            </w:r>
            <w:r w:rsidRPr="003013DE">
              <w:rPr>
                <w:noProof/>
                <w:webHidden/>
              </w:rPr>
              <w:fldChar w:fldCharType="separate"/>
            </w:r>
            <w:r w:rsidR="00F35382">
              <w:rPr>
                <w:noProof/>
                <w:webHidden/>
              </w:rPr>
              <w:t>67</w:t>
            </w:r>
            <w:r w:rsidRPr="003013DE">
              <w:rPr>
                <w:noProof/>
                <w:webHidden/>
              </w:rPr>
              <w:fldChar w:fldCharType="end"/>
            </w:r>
          </w:hyperlink>
        </w:p>
        <w:p w14:paraId="7F0ECE9F" w14:textId="3C55AE0B" w:rsidR="003013DE" w:rsidRPr="003013DE" w:rsidRDefault="003013DE">
          <w:pPr>
            <w:pStyle w:val="TDC2"/>
            <w:tabs>
              <w:tab w:val="right" w:leader="dot" w:pos="8828"/>
            </w:tabs>
            <w:rPr>
              <w:rFonts w:eastAsiaTheme="minorEastAsia"/>
              <w:noProof/>
              <w:lang w:eastAsia="es-CR"/>
            </w:rPr>
          </w:pPr>
          <w:hyperlink w:anchor="_Toc223177179" w:history="1">
            <w:r w:rsidRPr="003013DE">
              <w:rPr>
                <w:rStyle w:val="Hipervnculo"/>
                <w:rFonts w:ascii="Times New Roman" w:hAnsi="Times New Roman" w:cs="Times New Roman"/>
                <w:noProof/>
              </w:rPr>
              <w:t>2.12. Biomarcadores microbianos en enfermedades neurodegenerativas</w:t>
            </w:r>
            <w:r w:rsidRPr="003013DE">
              <w:rPr>
                <w:noProof/>
                <w:webHidden/>
              </w:rPr>
              <w:tab/>
            </w:r>
            <w:r w:rsidRPr="003013DE">
              <w:rPr>
                <w:noProof/>
                <w:webHidden/>
              </w:rPr>
              <w:fldChar w:fldCharType="begin"/>
            </w:r>
            <w:r w:rsidRPr="003013DE">
              <w:rPr>
                <w:noProof/>
                <w:webHidden/>
              </w:rPr>
              <w:instrText xml:space="preserve"> PAGEREF _Toc223177179 \h </w:instrText>
            </w:r>
            <w:r w:rsidRPr="003013DE">
              <w:rPr>
                <w:noProof/>
                <w:webHidden/>
              </w:rPr>
            </w:r>
            <w:r w:rsidRPr="003013DE">
              <w:rPr>
                <w:noProof/>
                <w:webHidden/>
              </w:rPr>
              <w:fldChar w:fldCharType="separate"/>
            </w:r>
            <w:r w:rsidR="00F35382">
              <w:rPr>
                <w:noProof/>
                <w:webHidden/>
              </w:rPr>
              <w:t>68</w:t>
            </w:r>
            <w:r w:rsidRPr="003013DE">
              <w:rPr>
                <w:noProof/>
                <w:webHidden/>
              </w:rPr>
              <w:fldChar w:fldCharType="end"/>
            </w:r>
          </w:hyperlink>
        </w:p>
        <w:p w14:paraId="761998BA" w14:textId="07ECF117" w:rsidR="003013DE" w:rsidRPr="003013DE" w:rsidRDefault="003013DE">
          <w:pPr>
            <w:pStyle w:val="TDC3"/>
            <w:rPr>
              <w:rFonts w:eastAsiaTheme="minorEastAsia"/>
              <w:noProof/>
              <w:lang w:eastAsia="es-CR"/>
            </w:rPr>
          </w:pPr>
          <w:hyperlink w:anchor="_Toc223177180" w:history="1">
            <w:r w:rsidRPr="003013DE">
              <w:rPr>
                <w:rStyle w:val="Hipervnculo"/>
                <w:rFonts w:ascii="Times New Roman" w:hAnsi="Times New Roman" w:cs="Times New Roman"/>
                <w:noProof/>
              </w:rPr>
              <w:t>2.12.1 Biomarcadores microbianos fecales</w:t>
            </w:r>
            <w:r w:rsidRPr="003013DE">
              <w:rPr>
                <w:noProof/>
                <w:webHidden/>
              </w:rPr>
              <w:tab/>
            </w:r>
            <w:r w:rsidRPr="003013DE">
              <w:rPr>
                <w:noProof/>
                <w:webHidden/>
              </w:rPr>
              <w:fldChar w:fldCharType="begin"/>
            </w:r>
            <w:r w:rsidRPr="003013DE">
              <w:rPr>
                <w:noProof/>
                <w:webHidden/>
              </w:rPr>
              <w:instrText xml:space="preserve"> PAGEREF _Toc223177180 \h </w:instrText>
            </w:r>
            <w:r w:rsidRPr="003013DE">
              <w:rPr>
                <w:noProof/>
                <w:webHidden/>
              </w:rPr>
            </w:r>
            <w:r w:rsidRPr="003013DE">
              <w:rPr>
                <w:noProof/>
                <w:webHidden/>
              </w:rPr>
              <w:fldChar w:fldCharType="separate"/>
            </w:r>
            <w:r w:rsidR="00F35382">
              <w:rPr>
                <w:noProof/>
                <w:webHidden/>
              </w:rPr>
              <w:t>68</w:t>
            </w:r>
            <w:r w:rsidRPr="003013DE">
              <w:rPr>
                <w:noProof/>
                <w:webHidden/>
              </w:rPr>
              <w:fldChar w:fldCharType="end"/>
            </w:r>
          </w:hyperlink>
        </w:p>
        <w:p w14:paraId="4F051839" w14:textId="4E7544E8" w:rsidR="003013DE" w:rsidRPr="003013DE" w:rsidRDefault="003013DE">
          <w:pPr>
            <w:pStyle w:val="TDC3"/>
            <w:rPr>
              <w:rFonts w:eastAsiaTheme="minorEastAsia"/>
              <w:noProof/>
              <w:lang w:eastAsia="es-CR"/>
            </w:rPr>
          </w:pPr>
          <w:hyperlink w:anchor="_Toc223177181" w:history="1">
            <w:r w:rsidRPr="003013DE">
              <w:rPr>
                <w:rStyle w:val="Hipervnculo"/>
                <w:rFonts w:ascii="Times New Roman" w:hAnsi="Times New Roman" w:cs="Times New Roman"/>
                <w:noProof/>
              </w:rPr>
              <w:t>2.12.2 Biomarcadores microbianos en sangre periférica</w:t>
            </w:r>
            <w:r w:rsidRPr="003013DE">
              <w:rPr>
                <w:noProof/>
                <w:webHidden/>
              </w:rPr>
              <w:tab/>
            </w:r>
            <w:r w:rsidRPr="003013DE">
              <w:rPr>
                <w:noProof/>
                <w:webHidden/>
              </w:rPr>
              <w:fldChar w:fldCharType="begin"/>
            </w:r>
            <w:r w:rsidRPr="003013DE">
              <w:rPr>
                <w:noProof/>
                <w:webHidden/>
              </w:rPr>
              <w:instrText xml:space="preserve"> PAGEREF _Toc223177181 \h </w:instrText>
            </w:r>
            <w:r w:rsidRPr="003013DE">
              <w:rPr>
                <w:noProof/>
                <w:webHidden/>
              </w:rPr>
            </w:r>
            <w:r w:rsidRPr="003013DE">
              <w:rPr>
                <w:noProof/>
                <w:webHidden/>
              </w:rPr>
              <w:fldChar w:fldCharType="separate"/>
            </w:r>
            <w:r w:rsidR="00F35382">
              <w:rPr>
                <w:noProof/>
                <w:webHidden/>
              </w:rPr>
              <w:t>69</w:t>
            </w:r>
            <w:r w:rsidRPr="003013DE">
              <w:rPr>
                <w:noProof/>
                <w:webHidden/>
              </w:rPr>
              <w:fldChar w:fldCharType="end"/>
            </w:r>
          </w:hyperlink>
        </w:p>
        <w:p w14:paraId="117F17E7" w14:textId="79B5D74A" w:rsidR="003013DE" w:rsidRPr="003013DE" w:rsidRDefault="003013DE">
          <w:pPr>
            <w:pStyle w:val="TDC3"/>
            <w:rPr>
              <w:rFonts w:eastAsiaTheme="minorEastAsia"/>
              <w:noProof/>
              <w:lang w:eastAsia="es-CR"/>
            </w:rPr>
          </w:pPr>
          <w:hyperlink w:anchor="_Toc223177182" w:history="1">
            <w:r w:rsidRPr="003013DE">
              <w:rPr>
                <w:rStyle w:val="Hipervnculo"/>
                <w:rFonts w:ascii="Times New Roman" w:hAnsi="Times New Roman" w:cs="Times New Roman"/>
                <w:noProof/>
              </w:rPr>
              <w:t>2.12.3 Biomarcadores microbianos en líquido cefalorraquídeo</w:t>
            </w:r>
            <w:r w:rsidRPr="003013DE">
              <w:rPr>
                <w:noProof/>
                <w:webHidden/>
              </w:rPr>
              <w:tab/>
            </w:r>
            <w:r w:rsidRPr="003013DE">
              <w:rPr>
                <w:noProof/>
                <w:webHidden/>
              </w:rPr>
              <w:fldChar w:fldCharType="begin"/>
            </w:r>
            <w:r w:rsidRPr="003013DE">
              <w:rPr>
                <w:noProof/>
                <w:webHidden/>
              </w:rPr>
              <w:instrText xml:space="preserve"> PAGEREF _Toc223177182 \h </w:instrText>
            </w:r>
            <w:r w:rsidRPr="003013DE">
              <w:rPr>
                <w:noProof/>
                <w:webHidden/>
              </w:rPr>
            </w:r>
            <w:r w:rsidRPr="003013DE">
              <w:rPr>
                <w:noProof/>
                <w:webHidden/>
              </w:rPr>
              <w:fldChar w:fldCharType="separate"/>
            </w:r>
            <w:r w:rsidR="00F35382">
              <w:rPr>
                <w:noProof/>
                <w:webHidden/>
              </w:rPr>
              <w:t>69</w:t>
            </w:r>
            <w:r w:rsidRPr="003013DE">
              <w:rPr>
                <w:noProof/>
                <w:webHidden/>
              </w:rPr>
              <w:fldChar w:fldCharType="end"/>
            </w:r>
          </w:hyperlink>
        </w:p>
        <w:p w14:paraId="53C4C08C" w14:textId="3B45EF92" w:rsidR="003013DE" w:rsidRPr="003013DE" w:rsidRDefault="003013DE">
          <w:pPr>
            <w:pStyle w:val="TDC3"/>
            <w:rPr>
              <w:rFonts w:eastAsiaTheme="minorEastAsia"/>
              <w:noProof/>
              <w:lang w:eastAsia="es-CR"/>
            </w:rPr>
          </w:pPr>
          <w:hyperlink w:anchor="_Toc223177183" w:history="1">
            <w:r w:rsidRPr="003013DE">
              <w:rPr>
                <w:rStyle w:val="Hipervnculo"/>
                <w:rFonts w:ascii="Times New Roman" w:hAnsi="Times New Roman" w:cs="Times New Roman"/>
                <w:noProof/>
              </w:rPr>
              <w:t>2.12.4 Relevancia clínica y proyección futura de los biomarcadores microbianos</w:t>
            </w:r>
            <w:r w:rsidRPr="003013DE">
              <w:rPr>
                <w:noProof/>
                <w:webHidden/>
              </w:rPr>
              <w:tab/>
            </w:r>
            <w:r w:rsidRPr="003013DE">
              <w:rPr>
                <w:noProof/>
                <w:webHidden/>
              </w:rPr>
              <w:fldChar w:fldCharType="begin"/>
            </w:r>
            <w:r w:rsidRPr="003013DE">
              <w:rPr>
                <w:noProof/>
                <w:webHidden/>
              </w:rPr>
              <w:instrText xml:space="preserve"> PAGEREF _Toc223177183 \h </w:instrText>
            </w:r>
            <w:r w:rsidRPr="003013DE">
              <w:rPr>
                <w:noProof/>
                <w:webHidden/>
              </w:rPr>
            </w:r>
            <w:r w:rsidRPr="003013DE">
              <w:rPr>
                <w:noProof/>
                <w:webHidden/>
              </w:rPr>
              <w:fldChar w:fldCharType="separate"/>
            </w:r>
            <w:r w:rsidR="00F35382">
              <w:rPr>
                <w:noProof/>
                <w:webHidden/>
              </w:rPr>
              <w:t>70</w:t>
            </w:r>
            <w:r w:rsidRPr="003013DE">
              <w:rPr>
                <w:noProof/>
                <w:webHidden/>
              </w:rPr>
              <w:fldChar w:fldCharType="end"/>
            </w:r>
          </w:hyperlink>
        </w:p>
        <w:p w14:paraId="3E1BAD93" w14:textId="1C3C5179" w:rsidR="003013DE" w:rsidRPr="003013DE" w:rsidRDefault="003013DE">
          <w:pPr>
            <w:pStyle w:val="TDC1"/>
            <w:tabs>
              <w:tab w:val="right" w:leader="dot" w:pos="8828"/>
            </w:tabs>
            <w:rPr>
              <w:rFonts w:eastAsiaTheme="minorEastAsia"/>
              <w:noProof/>
              <w:lang w:eastAsia="es-CR"/>
            </w:rPr>
          </w:pPr>
          <w:hyperlink w:anchor="_Toc223177184" w:history="1">
            <w:r w:rsidRPr="003013DE">
              <w:rPr>
                <w:rStyle w:val="Hipervnculo"/>
                <w:rFonts w:cs="Times New Roman"/>
                <w:noProof/>
              </w:rPr>
              <w:t>CAPÍTULO</w:t>
            </w:r>
            <w:r w:rsidRPr="003013DE">
              <w:rPr>
                <w:rStyle w:val="Hipervnculo"/>
                <w:rFonts w:cs="Times New Roman"/>
                <w:noProof/>
                <w:spacing w:val="-1"/>
              </w:rPr>
              <w:t xml:space="preserve"> </w:t>
            </w:r>
            <w:r w:rsidRPr="003013DE">
              <w:rPr>
                <w:rStyle w:val="Hipervnculo"/>
                <w:rFonts w:cs="Times New Roman"/>
                <w:noProof/>
              </w:rPr>
              <w:t>III-</w:t>
            </w:r>
            <w:r w:rsidRPr="003013DE">
              <w:rPr>
                <w:rStyle w:val="Hipervnculo"/>
                <w:rFonts w:cs="Times New Roman"/>
                <w:noProof/>
                <w:spacing w:val="-1"/>
              </w:rPr>
              <w:t xml:space="preserve"> </w:t>
            </w:r>
            <w:r w:rsidRPr="003013DE">
              <w:rPr>
                <w:rStyle w:val="Hipervnculo"/>
                <w:rFonts w:cs="Times New Roman"/>
                <w:noProof/>
                <w:spacing w:val="-2"/>
              </w:rPr>
              <w:t>MARCO METODOLÓGICO</w:t>
            </w:r>
            <w:r w:rsidRPr="003013DE">
              <w:rPr>
                <w:noProof/>
                <w:webHidden/>
              </w:rPr>
              <w:tab/>
            </w:r>
            <w:r w:rsidRPr="003013DE">
              <w:rPr>
                <w:noProof/>
                <w:webHidden/>
              </w:rPr>
              <w:fldChar w:fldCharType="begin"/>
            </w:r>
            <w:r w:rsidRPr="003013DE">
              <w:rPr>
                <w:noProof/>
                <w:webHidden/>
              </w:rPr>
              <w:instrText xml:space="preserve"> PAGEREF _Toc223177184 \h </w:instrText>
            </w:r>
            <w:r w:rsidRPr="003013DE">
              <w:rPr>
                <w:noProof/>
                <w:webHidden/>
              </w:rPr>
            </w:r>
            <w:r w:rsidRPr="003013DE">
              <w:rPr>
                <w:noProof/>
                <w:webHidden/>
              </w:rPr>
              <w:fldChar w:fldCharType="separate"/>
            </w:r>
            <w:r w:rsidR="00F35382">
              <w:rPr>
                <w:noProof/>
                <w:webHidden/>
              </w:rPr>
              <w:t>71</w:t>
            </w:r>
            <w:r w:rsidRPr="003013DE">
              <w:rPr>
                <w:noProof/>
                <w:webHidden/>
              </w:rPr>
              <w:fldChar w:fldCharType="end"/>
            </w:r>
          </w:hyperlink>
        </w:p>
        <w:p w14:paraId="46DEBDC3" w14:textId="2A9BD38F" w:rsidR="003013DE" w:rsidRPr="003013DE" w:rsidRDefault="003013DE">
          <w:pPr>
            <w:pStyle w:val="TDC1"/>
            <w:tabs>
              <w:tab w:val="right" w:leader="dot" w:pos="8828"/>
            </w:tabs>
            <w:rPr>
              <w:rFonts w:eastAsiaTheme="minorEastAsia"/>
              <w:noProof/>
              <w:lang w:eastAsia="es-CR"/>
            </w:rPr>
          </w:pPr>
          <w:hyperlink w:anchor="_Toc223177185" w:history="1">
            <w:r w:rsidRPr="003013DE">
              <w:rPr>
                <w:rStyle w:val="Hipervnculo"/>
                <w:rFonts w:cs="Times New Roman"/>
                <w:noProof/>
                <w:spacing w:val="-2"/>
              </w:rPr>
              <w:t>3.1 Enfoque metodológico</w:t>
            </w:r>
            <w:r w:rsidRPr="003013DE">
              <w:rPr>
                <w:noProof/>
                <w:webHidden/>
              </w:rPr>
              <w:tab/>
            </w:r>
            <w:r w:rsidRPr="003013DE">
              <w:rPr>
                <w:noProof/>
                <w:webHidden/>
              </w:rPr>
              <w:fldChar w:fldCharType="begin"/>
            </w:r>
            <w:r w:rsidRPr="003013DE">
              <w:rPr>
                <w:noProof/>
                <w:webHidden/>
              </w:rPr>
              <w:instrText xml:space="preserve"> PAGEREF _Toc223177185 \h </w:instrText>
            </w:r>
            <w:r w:rsidRPr="003013DE">
              <w:rPr>
                <w:noProof/>
                <w:webHidden/>
              </w:rPr>
            </w:r>
            <w:r w:rsidRPr="003013DE">
              <w:rPr>
                <w:noProof/>
                <w:webHidden/>
              </w:rPr>
              <w:fldChar w:fldCharType="separate"/>
            </w:r>
            <w:r w:rsidR="00F35382">
              <w:rPr>
                <w:noProof/>
                <w:webHidden/>
              </w:rPr>
              <w:t>72</w:t>
            </w:r>
            <w:r w:rsidRPr="003013DE">
              <w:rPr>
                <w:noProof/>
                <w:webHidden/>
              </w:rPr>
              <w:fldChar w:fldCharType="end"/>
            </w:r>
          </w:hyperlink>
        </w:p>
        <w:p w14:paraId="6A22C81D" w14:textId="7706C70C" w:rsidR="003013DE" w:rsidRPr="003013DE" w:rsidRDefault="003013DE">
          <w:pPr>
            <w:pStyle w:val="TDC1"/>
            <w:tabs>
              <w:tab w:val="right" w:leader="dot" w:pos="8828"/>
            </w:tabs>
            <w:rPr>
              <w:rFonts w:eastAsiaTheme="minorEastAsia"/>
              <w:noProof/>
              <w:lang w:eastAsia="es-CR"/>
            </w:rPr>
          </w:pPr>
          <w:hyperlink w:anchor="_Toc223177186" w:history="1">
            <w:r w:rsidRPr="003013DE">
              <w:rPr>
                <w:rStyle w:val="Hipervnculo"/>
                <w:rFonts w:cs="Times New Roman"/>
                <w:noProof/>
                <w:spacing w:val="-2"/>
              </w:rPr>
              <w:t>3.2 Tipo de investigación</w:t>
            </w:r>
            <w:r w:rsidRPr="003013DE">
              <w:rPr>
                <w:noProof/>
                <w:webHidden/>
              </w:rPr>
              <w:tab/>
            </w:r>
            <w:r w:rsidRPr="003013DE">
              <w:rPr>
                <w:noProof/>
                <w:webHidden/>
              </w:rPr>
              <w:fldChar w:fldCharType="begin"/>
            </w:r>
            <w:r w:rsidRPr="003013DE">
              <w:rPr>
                <w:noProof/>
                <w:webHidden/>
              </w:rPr>
              <w:instrText xml:space="preserve"> PAGEREF _Toc223177186 \h </w:instrText>
            </w:r>
            <w:r w:rsidRPr="003013DE">
              <w:rPr>
                <w:noProof/>
                <w:webHidden/>
              </w:rPr>
            </w:r>
            <w:r w:rsidRPr="003013DE">
              <w:rPr>
                <w:noProof/>
                <w:webHidden/>
              </w:rPr>
              <w:fldChar w:fldCharType="separate"/>
            </w:r>
            <w:r w:rsidR="00F35382">
              <w:rPr>
                <w:noProof/>
                <w:webHidden/>
              </w:rPr>
              <w:t>73</w:t>
            </w:r>
            <w:r w:rsidRPr="003013DE">
              <w:rPr>
                <w:noProof/>
                <w:webHidden/>
              </w:rPr>
              <w:fldChar w:fldCharType="end"/>
            </w:r>
          </w:hyperlink>
        </w:p>
        <w:p w14:paraId="5363FE6A" w14:textId="0D9DBCCB" w:rsidR="003013DE" w:rsidRPr="003013DE" w:rsidRDefault="003013DE">
          <w:pPr>
            <w:pStyle w:val="TDC1"/>
            <w:tabs>
              <w:tab w:val="right" w:leader="dot" w:pos="8828"/>
            </w:tabs>
            <w:rPr>
              <w:rFonts w:eastAsiaTheme="minorEastAsia"/>
              <w:noProof/>
              <w:lang w:eastAsia="es-CR"/>
            </w:rPr>
          </w:pPr>
          <w:hyperlink w:anchor="_Toc223177187" w:history="1">
            <w:r w:rsidRPr="003013DE">
              <w:rPr>
                <w:rStyle w:val="Hipervnculo"/>
                <w:rFonts w:cs="Times New Roman"/>
                <w:noProof/>
                <w:spacing w:val="-2"/>
              </w:rPr>
              <w:t>3.3 Fuentes de información</w:t>
            </w:r>
            <w:r w:rsidRPr="003013DE">
              <w:rPr>
                <w:noProof/>
                <w:webHidden/>
              </w:rPr>
              <w:tab/>
            </w:r>
            <w:r w:rsidRPr="003013DE">
              <w:rPr>
                <w:noProof/>
                <w:webHidden/>
              </w:rPr>
              <w:fldChar w:fldCharType="begin"/>
            </w:r>
            <w:r w:rsidRPr="003013DE">
              <w:rPr>
                <w:noProof/>
                <w:webHidden/>
              </w:rPr>
              <w:instrText xml:space="preserve"> PAGEREF _Toc223177187 \h </w:instrText>
            </w:r>
            <w:r w:rsidRPr="003013DE">
              <w:rPr>
                <w:noProof/>
                <w:webHidden/>
              </w:rPr>
            </w:r>
            <w:r w:rsidRPr="003013DE">
              <w:rPr>
                <w:noProof/>
                <w:webHidden/>
              </w:rPr>
              <w:fldChar w:fldCharType="separate"/>
            </w:r>
            <w:r w:rsidR="00F35382">
              <w:rPr>
                <w:noProof/>
                <w:webHidden/>
              </w:rPr>
              <w:t>73</w:t>
            </w:r>
            <w:r w:rsidRPr="003013DE">
              <w:rPr>
                <w:noProof/>
                <w:webHidden/>
              </w:rPr>
              <w:fldChar w:fldCharType="end"/>
            </w:r>
          </w:hyperlink>
        </w:p>
        <w:p w14:paraId="3E240857" w14:textId="4979D5D1" w:rsidR="003013DE" w:rsidRPr="003013DE" w:rsidRDefault="003013DE">
          <w:pPr>
            <w:pStyle w:val="TDC1"/>
            <w:tabs>
              <w:tab w:val="right" w:leader="dot" w:pos="8828"/>
            </w:tabs>
            <w:rPr>
              <w:rFonts w:eastAsiaTheme="minorEastAsia"/>
              <w:noProof/>
              <w:lang w:eastAsia="es-CR"/>
            </w:rPr>
          </w:pPr>
          <w:hyperlink w:anchor="_Toc223177188" w:history="1">
            <w:r w:rsidRPr="003013DE">
              <w:rPr>
                <w:rStyle w:val="Hipervnculo"/>
                <w:rFonts w:cs="Times New Roman"/>
                <w:noProof/>
                <w:spacing w:val="-2"/>
              </w:rPr>
              <w:t>3.4 Criterios de búsqueda</w:t>
            </w:r>
            <w:r w:rsidRPr="003013DE">
              <w:rPr>
                <w:noProof/>
                <w:webHidden/>
              </w:rPr>
              <w:tab/>
            </w:r>
            <w:r w:rsidRPr="003013DE">
              <w:rPr>
                <w:noProof/>
                <w:webHidden/>
              </w:rPr>
              <w:fldChar w:fldCharType="begin"/>
            </w:r>
            <w:r w:rsidRPr="003013DE">
              <w:rPr>
                <w:noProof/>
                <w:webHidden/>
              </w:rPr>
              <w:instrText xml:space="preserve"> PAGEREF _Toc223177188 \h </w:instrText>
            </w:r>
            <w:r w:rsidRPr="003013DE">
              <w:rPr>
                <w:noProof/>
                <w:webHidden/>
              </w:rPr>
            </w:r>
            <w:r w:rsidRPr="003013DE">
              <w:rPr>
                <w:noProof/>
                <w:webHidden/>
              </w:rPr>
              <w:fldChar w:fldCharType="separate"/>
            </w:r>
            <w:r w:rsidR="00F35382">
              <w:rPr>
                <w:noProof/>
                <w:webHidden/>
              </w:rPr>
              <w:t>74</w:t>
            </w:r>
            <w:r w:rsidRPr="003013DE">
              <w:rPr>
                <w:noProof/>
                <w:webHidden/>
              </w:rPr>
              <w:fldChar w:fldCharType="end"/>
            </w:r>
          </w:hyperlink>
        </w:p>
        <w:p w14:paraId="0760D7A9" w14:textId="18A3344E" w:rsidR="003013DE" w:rsidRPr="003013DE" w:rsidRDefault="003013DE">
          <w:pPr>
            <w:pStyle w:val="TDC1"/>
            <w:tabs>
              <w:tab w:val="right" w:leader="dot" w:pos="8828"/>
            </w:tabs>
            <w:rPr>
              <w:rFonts w:eastAsiaTheme="minorEastAsia"/>
              <w:noProof/>
              <w:lang w:eastAsia="es-CR"/>
            </w:rPr>
          </w:pPr>
          <w:hyperlink w:anchor="_Toc223177189" w:history="1">
            <w:r w:rsidRPr="003013DE">
              <w:rPr>
                <w:rStyle w:val="Hipervnculo"/>
                <w:rFonts w:cs="Times New Roman"/>
                <w:noProof/>
                <w:spacing w:val="-2"/>
              </w:rPr>
              <w:t>3.5 Criterios de inclusión y exclusión</w:t>
            </w:r>
            <w:r w:rsidRPr="003013DE">
              <w:rPr>
                <w:noProof/>
                <w:webHidden/>
              </w:rPr>
              <w:tab/>
            </w:r>
            <w:r w:rsidRPr="003013DE">
              <w:rPr>
                <w:noProof/>
                <w:webHidden/>
              </w:rPr>
              <w:fldChar w:fldCharType="begin"/>
            </w:r>
            <w:r w:rsidRPr="003013DE">
              <w:rPr>
                <w:noProof/>
                <w:webHidden/>
              </w:rPr>
              <w:instrText xml:space="preserve"> PAGEREF _Toc223177189 \h </w:instrText>
            </w:r>
            <w:r w:rsidRPr="003013DE">
              <w:rPr>
                <w:noProof/>
                <w:webHidden/>
              </w:rPr>
            </w:r>
            <w:r w:rsidRPr="003013DE">
              <w:rPr>
                <w:noProof/>
                <w:webHidden/>
              </w:rPr>
              <w:fldChar w:fldCharType="separate"/>
            </w:r>
            <w:r w:rsidR="00F35382">
              <w:rPr>
                <w:noProof/>
                <w:webHidden/>
              </w:rPr>
              <w:t>76</w:t>
            </w:r>
            <w:r w:rsidRPr="003013DE">
              <w:rPr>
                <w:noProof/>
                <w:webHidden/>
              </w:rPr>
              <w:fldChar w:fldCharType="end"/>
            </w:r>
          </w:hyperlink>
        </w:p>
        <w:p w14:paraId="293E3102" w14:textId="3694A1F4" w:rsidR="003013DE" w:rsidRPr="003013DE" w:rsidRDefault="003013DE">
          <w:pPr>
            <w:pStyle w:val="TDC1"/>
            <w:tabs>
              <w:tab w:val="right" w:leader="dot" w:pos="8828"/>
            </w:tabs>
            <w:rPr>
              <w:rFonts w:eastAsiaTheme="minorEastAsia"/>
              <w:noProof/>
              <w:lang w:eastAsia="es-CR"/>
            </w:rPr>
          </w:pPr>
          <w:hyperlink w:anchor="_Toc223177190" w:history="1">
            <w:r w:rsidRPr="003013DE">
              <w:rPr>
                <w:rStyle w:val="Hipervnculo"/>
                <w:rFonts w:cs="Times New Roman"/>
                <w:noProof/>
                <w:lang w:val="es-ES"/>
              </w:rPr>
              <w:t>3.6 Algoritmo para el proceso de selección de información</w:t>
            </w:r>
            <w:r w:rsidRPr="003013DE">
              <w:rPr>
                <w:noProof/>
                <w:webHidden/>
              </w:rPr>
              <w:tab/>
            </w:r>
            <w:r w:rsidRPr="003013DE">
              <w:rPr>
                <w:noProof/>
                <w:webHidden/>
              </w:rPr>
              <w:fldChar w:fldCharType="begin"/>
            </w:r>
            <w:r w:rsidRPr="003013DE">
              <w:rPr>
                <w:noProof/>
                <w:webHidden/>
              </w:rPr>
              <w:instrText xml:space="preserve"> PAGEREF _Toc223177190 \h </w:instrText>
            </w:r>
            <w:r w:rsidRPr="003013DE">
              <w:rPr>
                <w:noProof/>
                <w:webHidden/>
              </w:rPr>
            </w:r>
            <w:r w:rsidRPr="003013DE">
              <w:rPr>
                <w:noProof/>
                <w:webHidden/>
              </w:rPr>
              <w:fldChar w:fldCharType="separate"/>
            </w:r>
            <w:r w:rsidR="00F35382">
              <w:rPr>
                <w:noProof/>
                <w:webHidden/>
              </w:rPr>
              <w:t>78</w:t>
            </w:r>
            <w:r w:rsidRPr="003013DE">
              <w:rPr>
                <w:noProof/>
                <w:webHidden/>
              </w:rPr>
              <w:fldChar w:fldCharType="end"/>
            </w:r>
          </w:hyperlink>
        </w:p>
        <w:p w14:paraId="51EADF8F" w14:textId="0777DEAF" w:rsidR="003013DE" w:rsidRPr="003013DE" w:rsidRDefault="003013DE">
          <w:pPr>
            <w:pStyle w:val="TDC1"/>
            <w:tabs>
              <w:tab w:val="right" w:leader="dot" w:pos="8828"/>
            </w:tabs>
            <w:rPr>
              <w:rFonts w:eastAsiaTheme="minorEastAsia"/>
              <w:noProof/>
              <w:lang w:eastAsia="es-CR"/>
            </w:rPr>
          </w:pPr>
          <w:hyperlink w:anchor="_Toc223177191" w:history="1">
            <w:r w:rsidRPr="003013DE">
              <w:rPr>
                <w:rStyle w:val="Hipervnculo"/>
                <w:rFonts w:cs="Times New Roman"/>
                <w:noProof/>
              </w:rPr>
              <w:t>CAPÍTULO</w:t>
            </w:r>
            <w:r w:rsidRPr="003013DE">
              <w:rPr>
                <w:rStyle w:val="Hipervnculo"/>
                <w:rFonts w:cs="Times New Roman"/>
                <w:noProof/>
                <w:spacing w:val="-1"/>
              </w:rPr>
              <w:t xml:space="preserve"> </w:t>
            </w:r>
            <w:r w:rsidRPr="003013DE">
              <w:rPr>
                <w:rStyle w:val="Hipervnculo"/>
                <w:rFonts w:cs="Times New Roman"/>
                <w:noProof/>
              </w:rPr>
              <w:t>IV-</w:t>
            </w:r>
            <w:r w:rsidRPr="003013DE">
              <w:rPr>
                <w:rStyle w:val="Hipervnculo"/>
                <w:rFonts w:cs="Times New Roman"/>
                <w:noProof/>
                <w:spacing w:val="-1"/>
              </w:rPr>
              <w:t xml:space="preserve"> </w:t>
            </w:r>
            <w:r w:rsidRPr="003013DE">
              <w:rPr>
                <w:rStyle w:val="Hipervnculo"/>
                <w:rFonts w:cs="Times New Roman"/>
                <w:noProof/>
                <w:spacing w:val="-2"/>
              </w:rPr>
              <w:t>ANÁLISIS DE RESULTADOS</w:t>
            </w:r>
            <w:r w:rsidRPr="003013DE">
              <w:rPr>
                <w:noProof/>
                <w:webHidden/>
              </w:rPr>
              <w:tab/>
            </w:r>
            <w:r w:rsidRPr="003013DE">
              <w:rPr>
                <w:noProof/>
                <w:webHidden/>
              </w:rPr>
              <w:fldChar w:fldCharType="begin"/>
            </w:r>
            <w:r w:rsidRPr="003013DE">
              <w:rPr>
                <w:noProof/>
                <w:webHidden/>
              </w:rPr>
              <w:instrText xml:space="preserve"> PAGEREF _Toc223177191 \h </w:instrText>
            </w:r>
            <w:r w:rsidRPr="003013DE">
              <w:rPr>
                <w:noProof/>
                <w:webHidden/>
              </w:rPr>
            </w:r>
            <w:r w:rsidRPr="003013DE">
              <w:rPr>
                <w:noProof/>
                <w:webHidden/>
              </w:rPr>
              <w:fldChar w:fldCharType="separate"/>
            </w:r>
            <w:r w:rsidR="00F35382">
              <w:rPr>
                <w:noProof/>
                <w:webHidden/>
              </w:rPr>
              <w:t>81</w:t>
            </w:r>
            <w:r w:rsidRPr="003013DE">
              <w:rPr>
                <w:noProof/>
                <w:webHidden/>
              </w:rPr>
              <w:fldChar w:fldCharType="end"/>
            </w:r>
          </w:hyperlink>
        </w:p>
        <w:p w14:paraId="3A8F55E1" w14:textId="400A8CE0" w:rsidR="003013DE" w:rsidRPr="003013DE" w:rsidRDefault="003013DE">
          <w:pPr>
            <w:pStyle w:val="TDC1"/>
            <w:tabs>
              <w:tab w:val="left" w:pos="660"/>
              <w:tab w:val="right" w:leader="dot" w:pos="8828"/>
            </w:tabs>
            <w:rPr>
              <w:rFonts w:eastAsiaTheme="minorEastAsia"/>
              <w:noProof/>
              <w:lang w:eastAsia="es-CR"/>
            </w:rPr>
          </w:pPr>
          <w:hyperlink w:anchor="_Toc223177192" w:history="1">
            <w:r w:rsidRPr="003013DE">
              <w:rPr>
                <w:rStyle w:val="Hipervnculo"/>
                <w:rFonts w:ascii="Times New Roman" w:eastAsia="Times New Roman" w:hAnsi="Times New Roman" w:cs="Times New Roman"/>
                <w:noProof/>
                <w:lang w:val="es-ES"/>
              </w:rPr>
              <w:t>4.1</w:t>
            </w:r>
            <w:r w:rsidRPr="003013DE">
              <w:rPr>
                <w:rFonts w:eastAsiaTheme="minorEastAsia"/>
                <w:noProof/>
                <w:lang w:eastAsia="es-CR"/>
              </w:rPr>
              <w:tab/>
            </w:r>
            <w:r w:rsidRPr="003013DE">
              <w:rPr>
                <w:rStyle w:val="Hipervnculo"/>
                <w:rFonts w:ascii="Times New Roman" w:eastAsia="Times New Roman" w:hAnsi="Times New Roman" w:cs="Times New Roman"/>
                <w:noProof/>
                <w:lang w:eastAsia="es-ES"/>
              </w:rPr>
              <w:t>Objetivo 1. Describir los principales mecanismos del eje intestino–cerebros implicados en el desarrollo y progresión de enfermedades neurodegenerativas.</w:t>
            </w:r>
            <w:r w:rsidRPr="003013DE">
              <w:rPr>
                <w:noProof/>
                <w:webHidden/>
              </w:rPr>
              <w:tab/>
            </w:r>
            <w:r w:rsidRPr="003013DE">
              <w:rPr>
                <w:noProof/>
                <w:webHidden/>
              </w:rPr>
              <w:fldChar w:fldCharType="begin"/>
            </w:r>
            <w:r w:rsidRPr="003013DE">
              <w:rPr>
                <w:noProof/>
                <w:webHidden/>
              </w:rPr>
              <w:instrText xml:space="preserve"> PAGEREF _Toc223177192 \h </w:instrText>
            </w:r>
            <w:r w:rsidRPr="003013DE">
              <w:rPr>
                <w:noProof/>
                <w:webHidden/>
              </w:rPr>
            </w:r>
            <w:r w:rsidRPr="003013DE">
              <w:rPr>
                <w:noProof/>
                <w:webHidden/>
              </w:rPr>
              <w:fldChar w:fldCharType="separate"/>
            </w:r>
            <w:r w:rsidR="00F35382">
              <w:rPr>
                <w:noProof/>
                <w:webHidden/>
              </w:rPr>
              <w:t>82</w:t>
            </w:r>
            <w:r w:rsidRPr="003013DE">
              <w:rPr>
                <w:noProof/>
                <w:webHidden/>
              </w:rPr>
              <w:fldChar w:fldCharType="end"/>
            </w:r>
          </w:hyperlink>
        </w:p>
        <w:p w14:paraId="27DE65EB" w14:textId="626132B5" w:rsidR="003013DE" w:rsidRPr="003013DE" w:rsidRDefault="003013DE">
          <w:pPr>
            <w:pStyle w:val="TDC2"/>
            <w:tabs>
              <w:tab w:val="left" w:pos="1100"/>
              <w:tab w:val="right" w:leader="dot" w:pos="8828"/>
            </w:tabs>
            <w:rPr>
              <w:rFonts w:eastAsiaTheme="minorEastAsia"/>
              <w:noProof/>
              <w:lang w:eastAsia="es-CR"/>
            </w:rPr>
          </w:pPr>
          <w:hyperlink w:anchor="_Toc223177193" w:history="1">
            <w:r w:rsidRPr="003013DE">
              <w:rPr>
                <w:rStyle w:val="Hipervnculo"/>
                <w:rFonts w:ascii="Times New Roman" w:eastAsia="Times New Roman" w:hAnsi="Times New Roman" w:cs="Times New Roman"/>
                <w:noProof/>
                <w:lang w:val="es-ES"/>
              </w:rPr>
              <w:t>4.1.1</w:t>
            </w:r>
            <w:r w:rsidRPr="003013DE">
              <w:rPr>
                <w:rFonts w:eastAsiaTheme="minorEastAsia"/>
                <w:noProof/>
                <w:lang w:eastAsia="es-CR"/>
              </w:rPr>
              <w:tab/>
            </w:r>
            <w:r w:rsidRPr="003013DE">
              <w:rPr>
                <w:rStyle w:val="Hipervnculo"/>
                <w:rFonts w:ascii="Times New Roman" w:eastAsia="Times New Roman" w:hAnsi="Times New Roman" w:cs="Times New Roman"/>
                <w:noProof/>
                <w:lang w:eastAsia="es-ES"/>
              </w:rPr>
              <w:t>Disfunción de la barrera intestinal y activación inflamatoria sistémica en neurodegeneración</w:t>
            </w:r>
            <w:r w:rsidRPr="003013DE">
              <w:rPr>
                <w:noProof/>
                <w:webHidden/>
              </w:rPr>
              <w:tab/>
            </w:r>
            <w:r w:rsidRPr="003013DE">
              <w:rPr>
                <w:noProof/>
                <w:webHidden/>
              </w:rPr>
              <w:fldChar w:fldCharType="begin"/>
            </w:r>
            <w:r w:rsidRPr="003013DE">
              <w:rPr>
                <w:noProof/>
                <w:webHidden/>
              </w:rPr>
              <w:instrText xml:space="preserve"> PAGEREF _Toc223177193 \h </w:instrText>
            </w:r>
            <w:r w:rsidRPr="003013DE">
              <w:rPr>
                <w:noProof/>
                <w:webHidden/>
              </w:rPr>
            </w:r>
            <w:r w:rsidRPr="003013DE">
              <w:rPr>
                <w:noProof/>
                <w:webHidden/>
              </w:rPr>
              <w:fldChar w:fldCharType="separate"/>
            </w:r>
            <w:r w:rsidR="00F35382">
              <w:rPr>
                <w:noProof/>
                <w:webHidden/>
              </w:rPr>
              <w:t>82</w:t>
            </w:r>
            <w:r w:rsidRPr="003013DE">
              <w:rPr>
                <w:noProof/>
                <w:webHidden/>
              </w:rPr>
              <w:fldChar w:fldCharType="end"/>
            </w:r>
          </w:hyperlink>
        </w:p>
        <w:p w14:paraId="19F89F4C" w14:textId="35AB51F6" w:rsidR="003013DE" w:rsidRPr="003013DE" w:rsidRDefault="003013DE">
          <w:pPr>
            <w:pStyle w:val="TDC2"/>
            <w:tabs>
              <w:tab w:val="right" w:leader="dot" w:pos="8828"/>
            </w:tabs>
            <w:rPr>
              <w:rFonts w:eastAsiaTheme="minorEastAsia"/>
              <w:noProof/>
              <w:lang w:eastAsia="es-CR"/>
            </w:rPr>
          </w:pPr>
          <w:hyperlink w:anchor="_Toc223177194" w:history="1">
            <w:r w:rsidRPr="003013DE">
              <w:rPr>
                <w:rStyle w:val="Hipervnculo"/>
                <w:rFonts w:ascii="Times New Roman" w:hAnsi="Times New Roman" w:cs="Times New Roman"/>
                <w:noProof/>
                <w:lang w:eastAsia="es-ES"/>
              </w:rPr>
              <w:t>4.1.2 Activación microglial y neuroinflamación crónica mediada por el eje intestino–cerebro</w:t>
            </w:r>
            <w:r w:rsidRPr="003013DE">
              <w:rPr>
                <w:noProof/>
                <w:webHidden/>
              </w:rPr>
              <w:tab/>
            </w:r>
            <w:r w:rsidRPr="003013DE">
              <w:rPr>
                <w:noProof/>
                <w:webHidden/>
              </w:rPr>
              <w:fldChar w:fldCharType="begin"/>
            </w:r>
            <w:r w:rsidRPr="003013DE">
              <w:rPr>
                <w:noProof/>
                <w:webHidden/>
              </w:rPr>
              <w:instrText xml:space="preserve"> PAGEREF _Toc223177194 \h </w:instrText>
            </w:r>
            <w:r w:rsidRPr="003013DE">
              <w:rPr>
                <w:noProof/>
                <w:webHidden/>
              </w:rPr>
            </w:r>
            <w:r w:rsidRPr="003013DE">
              <w:rPr>
                <w:noProof/>
                <w:webHidden/>
              </w:rPr>
              <w:fldChar w:fldCharType="separate"/>
            </w:r>
            <w:r w:rsidR="00F35382">
              <w:rPr>
                <w:noProof/>
                <w:webHidden/>
              </w:rPr>
              <w:t>84</w:t>
            </w:r>
            <w:r w:rsidRPr="003013DE">
              <w:rPr>
                <w:noProof/>
                <w:webHidden/>
              </w:rPr>
              <w:fldChar w:fldCharType="end"/>
            </w:r>
          </w:hyperlink>
        </w:p>
        <w:p w14:paraId="7203DF8D" w14:textId="68EEAA53" w:rsidR="003013DE" w:rsidRPr="003013DE" w:rsidRDefault="003013DE">
          <w:pPr>
            <w:pStyle w:val="TDC3"/>
            <w:rPr>
              <w:rFonts w:eastAsiaTheme="minorEastAsia"/>
              <w:noProof/>
              <w:lang w:eastAsia="es-CR"/>
            </w:rPr>
          </w:pPr>
          <w:hyperlink w:anchor="_Toc223177195" w:history="1">
            <w:r w:rsidRPr="003013DE">
              <w:rPr>
                <w:rStyle w:val="Hipervnculo"/>
                <w:rFonts w:ascii="Times New Roman" w:hAnsi="Times New Roman" w:cs="Times New Roman"/>
                <w:noProof/>
                <w:lang w:eastAsia="es-ES"/>
              </w:rPr>
              <w:t>4.1.2.1 Activación microglial inducida por inflamación sistémica</w:t>
            </w:r>
            <w:r w:rsidRPr="003013DE">
              <w:rPr>
                <w:noProof/>
                <w:webHidden/>
              </w:rPr>
              <w:tab/>
            </w:r>
            <w:r w:rsidRPr="003013DE">
              <w:rPr>
                <w:noProof/>
                <w:webHidden/>
              </w:rPr>
              <w:fldChar w:fldCharType="begin"/>
            </w:r>
            <w:r w:rsidRPr="003013DE">
              <w:rPr>
                <w:noProof/>
                <w:webHidden/>
              </w:rPr>
              <w:instrText xml:space="preserve"> PAGEREF _Toc223177195 \h </w:instrText>
            </w:r>
            <w:r w:rsidRPr="003013DE">
              <w:rPr>
                <w:noProof/>
                <w:webHidden/>
              </w:rPr>
            </w:r>
            <w:r w:rsidRPr="003013DE">
              <w:rPr>
                <w:noProof/>
                <w:webHidden/>
              </w:rPr>
              <w:fldChar w:fldCharType="separate"/>
            </w:r>
            <w:r w:rsidR="00F35382">
              <w:rPr>
                <w:noProof/>
                <w:webHidden/>
              </w:rPr>
              <w:t>84</w:t>
            </w:r>
            <w:r w:rsidRPr="003013DE">
              <w:rPr>
                <w:noProof/>
                <w:webHidden/>
              </w:rPr>
              <w:fldChar w:fldCharType="end"/>
            </w:r>
          </w:hyperlink>
        </w:p>
        <w:p w14:paraId="19A4263A" w14:textId="21B35A39" w:rsidR="003013DE" w:rsidRPr="003013DE" w:rsidRDefault="003013DE">
          <w:pPr>
            <w:pStyle w:val="TDC3"/>
            <w:rPr>
              <w:rFonts w:eastAsiaTheme="minorEastAsia"/>
              <w:noProof/>
              <w:lang w:eastAsia="es-CR"/>
            </w:rPr>
          </w:pPr>
          <w:hyperlink w:anchor="_Toc223177196" w:history="1">
            <w:r w:rsidRPr="003013DE">
              <w:rPr>
                <w:rStyle w:val="Hipervnculo"/>
                <w:rFonts w:ascii="Times New Roman" w:hAnsi="Times New Roman" w:cs="Times New Roman"/>
                <w:noProof/>
                <w:lang w:eastAsia="es-ES"/>
              </w:rPr>
              <w:t>4.1.2.2 Microglía, β-amiloide y α-sinucleína: un ciclo de retroalimentación patológica</w:t>
            </w:r>
            <w:r w:rsidRPr="003013DE">
              <w:rPr>
                <w:noProof/>
                <w:webHidden/>
              </w:rPr>
              <w:tab/>
            </w:r>
            <w:r w:rsidRPr="003013DE">
              <w:rPr>
                <w:noProof/>
                <w:webHidden/>
              </w:rPr>
              <w:fldChar w:fldCharType="begin"/>
            </w:r>
            <w:r w:rsidRPr="003013DE">
              <w:rPr>
                <w:noProof/>
                <w:webHidden/>
              </w:rPr>
              <w:instrText xml:space="preserve"> PAGEREF _Toc223177196 \h </w:instrText>
            </w:r>
            <w:r w:rsidRPr="003013DE">
              <w:rPr>
                <w:noProof/>
                <w:webHidden/>
              </w:rPr>
            </w:r>
            <w:r w:rsidRPr="003013DE">
              <w:rPr>
                <w:noProof/>
                <w:webHidden/>
              </w:rPr>
              <w:fldChar w:fldCharType="separate"/>
            </w:r>
            <w:r w:rsidR="00F35382">
              <w:rPr>
                <w:noProof/>
                <w:webHidden/>
              </w:rPr>
              <w:t>85</w:t>
            </w:r>
            <w:r w:rsidRPr="003013DE">
              <w:rPr>
                <w:noProof/>
                <w:webHidden/>
              </w:rPr>
              <w:fldChar w:fldCharType="end"/>
            </w:r>
          </w:hyperlink>
        </w:p>
        <w:p w14:paraId="495B383E" w14:textId="2093321B" w:rsidR="003013DE" w:rsidRPr="003013DE" w:rsidRDefault="003013DE">
          <w:pPr>
            <w:pStyle w:val="TDC3"/>
            <w:rPr>
              <w:rFonts w:eastAsiaTheme="minorEastAsia"/>
              <w:noProof/>
              <w:lang w:eastAsia="es-CR"/>
            </w:rPr>
          </w:pPr>
          <w:hyperlink w:anchor="_Toc223177197" w:history="1">
            <w:r w:rsidRPr="003013DE">
              <w:rPr>
                <w:rStyle w:val="Hipervnculo"/>
                <w:rFonts w:ascii="Times New Roman" w:hAnsi="Times New Roman" w:cs="Times New Roman"/>
                <w:noProof/>
                <w:lang w:eastAsia="es-ES"/>
              </w:rPr>
              <w:t>4.1.2.3 Influencia del microbiota en la maduración y reactividad microglial</w:t>
            </w:r>
            <w:r w:rsidRPr="003013DE">
              <w:rPr>
                <w:noProof/>
                <w:webHidden/>
              </w:rPr>
              <w:tab/>
            </w:r>
            <w:r w:rsidRPr="003013DE">
              <w:rPr>
                <w:noProof/>
                <w:webHidden/>
              </w:rPr>
              <w:fldChar w:fldCharType="begin"/>
            </w:r>
            <w:r w:rsidRPr="003013DE">
              <w:rPr>
                <w:noProof/>
                <w:webHidden/>
              </w:rPr>
              <w:instrText xml:space="preserve"> PAGEREF _Toc223177197 \h </w:instrText>
            </w:r>
            <w:r w:rsidRPr="003013DE">
              <w:rPr>
                <w:noProof/>
                <w:webHidden/>
              </w:rPr>
            </w:r>
            <w:r w:rsidRPr="003013DE">
              <w:rPr>
                <w:noProof/>
                <w:webHidden/>
              </w:rPr>
              <w:fldChar w:fldCharType="separate"/>
            </w:r>
            <w:r w:rsidR="00F35382">
              <w:rPr>
                <w:noProof/>
                <w:webHidden/>
              </w:rPr>
              <w:t>85</w:t>
            </w:r>
            <w:r w:rsidRPr="003013DE">
              <w:rPr>
                <w:noProof/>
                <w:webHidden/>
              </w:rPr>
              <w:fldChar w:fldCharType="end"/>
            </w:r>
          </w:hyperlink>
        </w:p>
        <w:p w14:paraId="4B896CB4" w14:textId="7EF42E49" w:rsidR="003013DE" w:rsidRPr="003013DE" w:rsidRDefault="003013DE">
          <w:pPr>
            <w:pStyle w:val="TDC3"/>
            <w:rPr>
              <w:rFonts w:eastAsiaTheme="minorEastAsia"/>
              <w:noProof/>
              <w:lang w:eastAsia="es-CR"/>
            </w:rPr>
          </w:pPr>
          <w:hyperlink w:anchor="_Toc223177198" w:history="1">
            <w:r w:rsidRPr="003013DE">
              <w:rPr>
                <w:rStyle w:val="Hipervnculo"/>
                <w:rFonts w:ascii="Times New Roman" w:hAnsi="Times New Roman" w:cs="Times New Roman"/>
                <w:noProof/>
                <w:lang w:eastAsia="es-ES"/>
              </w:rPr>
              <w:t>4.1.2.4 Microglía y envejecimiento: sinergia con la disbiosis intestinal</w:t>
            </w:r>
            <w:r w:rsidRPr="003013DE">
              <w:rPr>
                <w:noProof/>
                <w:webHidden/>
              </w:rPr>
              <w:tab/>
            </w:r>
            <w:r w:rsidRPr="003013DE">
              <w:rPr>
                <w:noProof/>
                <w:webHidden/>
              </w:rPr>
              <w:fldChar w:fldCharType="begin"/>
            </w:r>
            <w:r w:rsidRPr="003013DE">
              <w:rPr>
                <w:noProof/>
                <w:webHidden/>
              </w:rPr>
              <w:instrText xml:space="preserve"> PAGEREF _Toc223177198 \h </w:instrText>
            </w:r>
            <w:r w:rsidRPr="003013DE">
              <w:rPr>
                <w:noProof/>
                <w:webHidden/>
              </w:rPr>
            </w:r>
            <w:r w:rsidRPr="003013DE">
              <w:rPr>
                <w:noProof/>
                <w:webHidden/>
              </w:rPr>
              <w:fldChar w:fldCharType="separate"/>
            </w:r>
            <w:r w:rsidR="00F35382">
              <w:rPr>
                <w:noProof/>
                <w:webHidden/>
              </w:rPr>
              <w:t>86</w:t>
            </w:r>
            <w:r w:rsidRPr="003013DE">
              <w:rPr>
                <w:noProof/>
                <w:webHidden/>
              </w:rPr>
              <w:fldChar w:fldCharType="end"/>
            </w:r>
          </w:hyperlink>
        </w:p>
        <w:p w14:paraId="721C087C" w14:textId="4490AB51" w:rsidR="003013DE" w:rsidRPr="003013DE" w:rsidRDefault="003013DE">
          <w:pPr>
            <w:pStyle w:val="TDC2"/>
            <w:tabs>
              <w:tab w:val="right" w:leader="dot" w:pos="8828"/>
            </w:tabs>
            <w:rPr>
              <w:rFonts w:eastAsiaTheme="minorEastAsia"/>
              <w:noProof/>
              <w:lang w:eastAsia="es-CR"/>
            </w:rPr>
          </w:pPr>
          <w:hyperlink w:anchor="_Toc223177199" w:history="1">
            <w:r w:rsidRPr="003013DE">
              <w:rPr>
                <w:rStyle w:val="Hipervnculo"/>
                <w:rFonts w:ascii="Times New Roman" w:hAnsi="Times New Roman" w:cs="Times New Roman"/>
                <w:noProof/>
                <w:lang w:eastAsia="es-ES"/>
              </w:rPr>
              <w:t>4.1.3 Alteración de metabolitos microbianos y su impacto neurobiológico en enfermedades neurodegenerativas</w:t>
            </w:r>
            <w:r w:rsidRPr="003013DE">
              <w:rPr>
                <w:noProof/>
                <w:webHidden/>
              </w:rPr>
              <w:tab/>
            </w:r>
            <w:r w:rsidRPr="003013DE">
              <w:rPr>
                <w:noProof/>
                <w:webHidden/>
              </w:rPr>
              <w:fldChar w:fldCharType="begin"/>
            </w:r>
            <w:r w:rsidRPr="003013DE">
              <w:rPr>
                <w:noProof/>
                <w:webHidden/>
              </w:rPr>
              <w:instrText xml:space="preserve"> PAGEREF _Toc223177199 \h </w:instrText>
            </w:r>
            <w:r w:rsidRPr="003013DE">
              <w:rPr>
                <w:noProof/>
                <w:webHidden/>
              </w:rPr>
            </w:r>
            <w:r w:rsidRPr="003013DE">
              <w:rPr>
                <w:noProof/>
                <w:webHidden/>
              </w:rPr>
              <w:fldChar w:fldCharType="separate"/>
            </w:r>
            <w:r w:rsidR="00F35382">
              <w:rPr>
                <w:noProof/>
                <w:webHidden/>
              </w:rPr>
              <w:t>86</w:t>
            </w:r>
            <w:r w:rsidRPr="003013DE">
              <w:rPr>
                <w:noProof/>
                <w:webHidden/>
              </w:rPr>
              <w:fldChar w:fldCharType="end"/>
            </w:r>
          </w:hyperlink>
        </w:p>
        <w:p w14:paraId="387E67BF" w14:textId="6400D22E" w:rsidR="003013DE" w:rsidRPr="003013DE" w:rsidRDefault="003013DE">
          <w:pPr>
            <w:pStyle w:val="TDC3"/>
            <w:rPr>
              <w:rFonts w:eastAsiaTheme="minorEastAsia"/>
              <w:noProof/>
              <w:lang w:eastAsia="es-CR"/>
            </w:rPr>
          </w:pPr>
          <w:hyperlink w:anchor="_Toc223177200" w:history="1">
            <w:r w:rsidRPr="003013DE">
              <w:rPr>
                <w:rStyle w:val="Hipervnculo"/>
                <w:rFonts w:ascii="Times New Roman" w:hAnsi="Times New Roman" w:cs="Times New Roman"/>
                <w:noProof/>
                <w:lang w:eastAsia="es-ES"/>
              </w:rPr>
              <w:t>4.1.3.1 Ácidos grasos de cadena corta y neuroprotección</w:t>
            </w:r>
            <w:r w:rsidRPr="003013DE">
              <w:rPr>
                <w:noProof/>
                <w:webHidden/>
              </w:rPr>
              <w:tab/>
            </w:r>
            <w:r w:rsidRPr="003013DE">
              <w:rPr>
                <w:noProof/>
                <w:webHidden/>
              </w:rPr>
              <w:fldChar w:fldCharType="begin"/>
            </w:r>
            <w:r w:rsidRPr="003013DE">
              <w:rPr>
                <w:noProof/>
                <w:webHidden/>
              </w:rPr>
              <w:instrText xml:space="preserve"> PAGEREF _Toc223177200 \h </w:instrText>
            </w:r>
            <w:r w:rsidRPr="003013DE">
              <w:rPr>
                <w:noProof/>
                <w:webHidden/>
              </w:rPr>
            </w:r>
            <w:r w:rsidRPr="003013DE">
              <w:rPr>
                <w:noProof/>
                <w:webHidden/>
              </w:rPr>
              <w:fldChar w:fldCharType="separate"/>
            </w:r>
            <w:r w:rsidR="00F35382">
              <w:rPr>
                <w:noProof/>
                <w:webHidden/>
              </w:rPr>
              <w:t>87</w:t>
            </w:r>
            <w:r w:rsidRPr="003013DE">
              <w:rPr>
                <w:noProof/>
                <w:webHidden/>
              </w:rPr>
              <w:fldChar w:fldCharType="end"/>
            </w:r>
          </w:hyperlink>
        </w:p>
        <w:p w14:paraId="645ED709" w14:textId="30783522" w:rsidR="003013DE" w:rsidRPr="003013DE" w:rsidRDefault="003013DE">
          <w:pPr>
            <w:pStyle w:val="TDC3"/>
            <w:rPr>
              <w:rFonts w:eastAsiaTheme="minorEastAsia"/>
              <w:noProof/>
              <w:lang w:eastAsia="es-CR"/>
            </w:rPr>
          </w:pPr>
          <w:hyperlink w:anchor="_Toc223177201" w:history="1">
            <w:r w:rsidRPr="003013DE">
              <w:rPr>
                <w:rStyle w:val="Hipervnculo"/>
                <w:rFonts w:ascii="Times New Roman" w:hAnsi="Times New Roman" w:cs="Times New Roman"/>
                <w:noProof/>
                <w:lang w:eastAsia="es-ES"/>
              </w:rPr>
              <w:t>4.1.3.2 Alteración del metabolismo del triptófano</w:t>
            </w:r>
            <w:r w:rsidRPr="003013DE">
              <w:rPr>
                <w:noProof/>
                <w:webHidden/>
              </w:rPr>
              <w:tab/>
            </w:r>
            <w:r w:rsidRPr="003013DE">
              <w:rPr>
                <w:noProof/>
                <w:webHidden/>
              </w:rPr>
              <w:fldChar w:fldCharType="begin"/>
            </w:r>
            <w:r w:rsidRPr="003013DE">
              <w:rPr>
                <w:noProof/>
                <w:webHidden/>
              </w:rPr>
              <w:instrText xml:space="preserve"> PAGEREF _Toc223177201 \h </w:instrText>
            </w:r>
            <w:r w:rsidRPr="003013DE">
              <w:rPr>
                <w:noProof/>
                <w:webHidden/>
              </w:rPr>
            </w:r>
            <w:r w:rsidRPr="003013DE">
              <w:rPr>
                <w:noProof/>
                <w:webHidden/>
              </w:rPr>
              <w:fldChar w:fldCharType="separate"/>
            </w:r>
            <w:r w:rsidR="00F35382">
              <w:rPr>
                <w:noProof/>
                <w:webHidden/>
              </w:rPr>
              <w:t>87</w:t>
            </w:r>
            <w:r w:rsidRPr="003013DE">
              <w:rPr>
                <w:noProof/>
                <w:webHidden/>
              </w:rPr>
              <w:fldChar w:fldCharType="end"/>
            </w:r>
          </w:hyperlink>
        </w:p>
        <w:p w14:paraId="256C6D81" w14:textId="70DA098F" w:rsidR="003013DE" w:rsidRPr="003013DE" w:rsidRDefault="003013DE">
          <w:pPr>
            <w:pStyle w:val="TDC3"/>
            <w:rPr>
              <w:rFonts w:eastAsiaTheme="minorEastAsia"/>
              <w:noProof/>
              <w:lang w:eastAsia="es-CR"/>
            </w:rPr>
          </w:pPr>
          <w:hyperlink w:anchor="_Toc223177202" w:history="1">
            <w:r w:rsidRPr="003013DE">
              <w:rPr>
                <w:rStyle w:val="Hipervnculo"/>
                <w:rFonts w:ascii="Times New Roman" w:hAnsi="Times New Roman" w:cs="Times New Roman"/>
                <w:noProof/>
                <w:lang w:eastAsia="es-ES"/>
              </w:rPr>
              <w:t>4.1.3.3 Producción microbiana de neurotransmisores y neuromoduladores</w:t>
            </w:r>
            <w:r w:rsidRPr="003013DE">
              <w:rPr>
                <w:noProof/>
                <w:webHidden/>
              </w:rPr>
              <w:tab/>
            </w:r>
            <w:r w:rsidRPr="003013DE">
              <w:rPr>
                <w:noProof/>
                <w:webHidden/>
              </w:rPr>
              <w:fldChar w:fldCharType="begin"/>
            </w:r>
            <w:r w:rsidRPr="003013DE">
              <w:rPr>
                <w:noProof/>
                <w:webHidden/>
              </w:rPr>
              <w:instrText xml:space="preserve"> PAGEREF _Toc223177202 \h </w:instrText>
            </w:r>
            <w:r w:rsidRPr="003013DE">
              <w:rPr>
                <w:noProof/>
                <w:webHidden/>
              </w:rPr>
            </w:r>
            <w:r w:rsidRPr="003013DE">
              <w:rPr>
                <w:noProof/>
                <w:webHidden/>
              </w:rPr>
              <w:fldChar w:fldCharType="separate"/>
            </w:r>
            <w:r w:rsidR="00F35382">
              <w:rPr>
                <w:noProof/>
                <w:webHidden/>
              </w:rPr>
              <w:t>88</w:t>
            </w:r>
            <w:r w:rsidRPr="003013DE">
              <w:rPr>
                <w:noProof/>
                <w:webHidden/>
              </w:rPr>
              <w:fldChar w:fldCharType="end"/>
            </w:r>
          </w:hyperlink>
        </w:p>
        <w:p w14:paraId="4BB1C3A8" w14:textId="5CC1BC4B" w:rsidR="003013DE" w:rsidRPr="003013DE" w:rsidRDefault="003013DE">
          <w:pPr>
            <w:pStyle w:val="TDC3"/>
            <w:rPr>
              <w:rFonts w:eastAsiaTheme="minorEastAsia"/>
              <w:noProof/>
              <w:lang w:eastAsia="es-CR"/>
            </w:rPr>
          </w:pPr>
          <w:hyperlink w:anchor="_Toc223177203" w:history="1">
            <w:r w:rsidRPr="003013DE">
              <w:rPr>
                <w:rStyle w:val="Hipervnculo"/>
                <w:rFonts w:ascii="Times New Roman" w:hAnsi="Times New Roman" w:cs="Times New Roman"/>
                <w:noProof/>
                <w:lang w:eastAsia="es-ES"/>
              </w:rPr>
              <w:t>4.1.3.4 Metabolitos microbianos proinflamatorios y neurotoxicidad</w:t>
            </w:r>
            <w:r w:rsidRPr="003013DE">
              <w:rPr>
                <w:noProof/>
                <w:webHidden/>
              </w:rPr>
              <w:tab/>
            </w:r>
            <w:r w:rsidRPr="003013DE">
              <w:rPr>
                <w:noProof/>
                <w:webHidden/>
              </w:rPr>
              <w:fldChar w:fldCharType="begin"/>
            </w:r>
            <w:r w:rsidRPr="003013DE">
              <w:rPr>
                <w:noProof/>
                <w:webHidden/>
              </w:rPr>
              <w:instrText xml:space="preserve"> PAGEREF _Toc223177203 \h </w:instrText>
            </w:r>
            <w:r w:rsidRPr="003013DE">
              <w:rPr>
                <w:noProof/>
                <w:webHidden/>
              </w:rPr>
            </w:r>
            <w:r w:rsidRPr="003013DE">
              <w:rPr>
                <w:noProof/>
                <w:webHidden/>
              </w:rPr>
              <w:fldChar w:fldCharType="separate"/>
            </w:r>
            <w:r w:rsidR="00F35382">
              <w:rPr>
                <w:noProof/>
                <w:webHidden/>
              </w:rPr>
              <w:t>89</w:t>
            </w:r>
            <w:r w:rsidRPr="003013DE">
              <w:rPr>
                <w:noProof/>
                <w:webHidden/>
              </w:rPr>
              <w:fldChar w:fldCharType="end"/>
            </w:r>
          </w:hyperlink>
        </w:p>
        <w:p w14:paraId="7DABDD0B" w14:textId="29BAEB48" w:rsidR="003013DE" w:rsidRPr="003013DE" w:rsidRDefault="003013DE">
          <w:pPr>
            <w:pStyle w:val="TDC2"/>
            <w:tabs>
              <w:tab w:val="right" w:leader="dot" w:pos="8828"/>
            </w:tabs>
            <w:rPr>
              <w:rFonts w:eastAsiaTheme="minorEastAsia"/>
              <w:noProof/>
              <w:lang w:eastAsia="es-CR"/>
            </w:rPr>
          </w:pPr>
          <w:hyperlink w:anchor="_Toc223177204" w:history="1">
            <w:r w:rsidRPr="003013DE">
              <w:rPr>
                <w:rStyle w:val="Hipervnculo"/>
                <w:rFonts w:ascii="Times New Roman" w:hAnsi="Times New Roman" w:cs="Times New Roman"/>
                <w:noProof/>
                <w:lang w:eastAsia="es-ES"/>
              </w:rPr>
              <w:t>4.1.4 Vía neural del eje intestino–cerebro: papel del nervio vago y propagación de señales patológicas</w:t>
            </w:r>
            <w:r w:rsidRPr="003013DE">
              <w:rPr>
                <w:noProof/>
                <w:webHidden/>
              </w:rPr>
              <w:tab/>
            </w:r>
            <w:r w:rsidRPr="003013DE">
              <w:rPr>
                <w:noProof/>
                <w:webHidden/>
              </w:rPr>
              <w:fldChar w:fldCharType="begin"/>
            </w:r>
            <w:r w:rsidRPr="003013DE">
              <w:rPr>
                <w:noProof/>
                <w:webHidden/>
              </w:rPr>
              <w:instrText xml:space="preserve"> PAGEREF _Toc223177204 \h </w:instrText>
            </w:r>
            <w:r w:rsidRPr="003013DE">
              <w:rPr>
                <w:noProof/>
                <w:webHidden/>
              </w:rPr>
            </w:r>
            <w:r w:rsidRPr="003013DE">
              <w:rPr>
                <w:noProof/>
                <w:webHidden/>
              </w:rPr>
              <w:fldChar w:fldCharType="separate"/>
            </w:r>
            <w:r w:rsidR="00F35382">
              <w:rPr>
                <w:noProof/>
                <w:webHidden/>
              </w:rPr>
              <w:t>89</w:t>
            </w:r>
            <w:r w:rsidRPr="003013DE">
              <w:rPr>
                <w:noProof/>
                <w:webHidden/>
              </w:rPr>
              <w:fldChar w:fldCharType="end"/>
            </w:r>
          </w:hyperlink>
        </w:p>
        <w:p w14:paraId="454BE71B" w14:textId="0B039BEB" w:rsidR="003013DE" w:rsidRPr="003013DE" w:rsidRDefault="003013DE">
          <w:pPr>
            <w:pStyle w:val="TDC3"/>
            <w:rPr>
              <w:rFonts w:eastAsiaTheme="minorEastAsia"/>
              <w:noProof/>
              <w:lang w:eastAsia="es-CR"/>
            </w:rPr>
          </w:pPr>
          <w:hyperlink w:anchor="_Toc223177205" w:history="1">
            <w:r w:rsidRPr="003013DE">
              <w:rPr>
                <w:rStyle w:val="Hipervnculo"/>
                <w:rFonts w:ascii="Times New Roman" w:hAnsi="Times New Roman" w:cs="Times New Roman"/>
                <w:noProof/>
                <w:lang w:eastAsia="es-ES"/>
              </w:rPr>
              <w:t>4.1.4.1 Comunicación aferente vagal y modulación cerebral</w:t>
            </w:r>
            <w:r w:rsidRPr="003013DE">
              <w:rPr>
                <w:noProof/>
                <w:webHidden/>
              </w:rPr>
              <w:tab/>
            </w:r>
            <w:r w:rsidRPr="003013DE">
              <w:rPr>
                <w:noProof/>
                <w:webHidden/>
              </w:rPr>
              <w:fldChar w:fldCharType="begin"/>
            </w:r>
            <w:r w:rsidRPr="003013DE">
              <w:rPr>
                <w:noProof/>
                <w:webHidden/>
              </w:rPr>
              <w:instrText xml:space="preserve"> PAGEREF _Toc223177205 \h </w:instrText>
            </w:r>
            <w:r w:rsidRPr="003013DE">
              <w:rPr>
                <w:noProof/>
                <w:webHidden/>
              </w:rPr>
            </w:r>
            <w:r w:rsidRPr="003013DE">
              <w:rPr>
                <w:noProof/>
                <w:webHidden/>
              </w:rPr>
              <w:fldChar w:fldCharType="separate"/>
            </w:r>
            <w:r w:rsidR="00F35382">
              <w:rPr>
                <w:noProof/>
                <w:webHidden/>
              </w:rPr>
              <w:t>90</w:t>
            </w:r>
            <w:r w:rsidRPr="003013DE">
              <w:rPr>
                <w:noProof/>
                <w:webHidden/>
              </w:rPr>
              <w:fldChar w:fldCharType="end"/>
            </w:r>
          </w:hyperlink>
        </w:p>
        <w:p w14:paraId="0BEDD73F" w14:textId="0E10916E" w:rsidR="003013DE" w:rsidRPr="003013DE" w:rsidRDefault="003013DE">
          <w:pPr>
            <w:pStyle w:val="TDC3"/>
            <w:rPr>
              <w:rFonts w:eastAsiaTheme="minorEastAsia"/>
              <w:noProof/>
              <w:lang w:eastAsia="es-CR"/>
            </w:rPr>
          </w:pPr>
          <w:hyperlink w:anchor="_Toc223177206" w:history="1">
            <w:r w:rsidRPr="003013DE">
              <w:rPr>
                <w:rStyle w:val="Hipervnculo"/>
                <w:rFonts w:ascii="Times New Roman" w:hAnsi="Times New Roman" w:cs="Times New Roman"/>
                <w:noProof/>
                <w:lang w:eastAsia="es-ES"/>
              </w:rPr>
              <w:t>4.1.4.2 Propagación ascendente de proteínas patológicas</w:t>
            </w:r>
            <w:r w:rsidRPr="003013DE">
              <w:rPr>
                <w:noProof/>
                <w:webHidden/>
              </w:rPr>
              <w:tab/>
            </w:r>
            <w:r w:rsidRPr="003013DE">
              <w:rPr>
                <w:noProof/>
                <w:webHidden/>
              </w:rPr>
              <w:fldChar w:fldCharType="begin"/>
            </w:r>
            <w:r w:rsidRPr="003013DE">
              <w:rPr>
                <w:noProof/>
                <w:webHidden/>
              </w:rPr>
              <w:instrText xml:space="preserve"> PAGEREF _Toc223177206 \h </w:instrText>
            </w:r>
            <w:r w:rsidRPr="003013DE">
              <w:rPr>
                <w:noProof/>
                <w:webHidden/>
              </w:rPr>
            </w:r>
            <w:r w:rsidRPr="003013DE">
              <w:rPr>
                <w:noProof/>
                <w:webHidden/>
              </w:rPr>
              <w:fldChar w:fldCharType="separate"/>
            </w:r>
            <w:r w:rsidR="00F35382">
              <w:rPr>
                <w:noProof/>
                <w:webHidden/>
              </w:rPr>
              <w:t>90</w:t>
            </w:r>
            <w:r w:rsidRPr="003013DE">
              <w:rPr>
                <w:noProof/>
                <w:webHidden/>
              </w:rPr>
              <w:fldChar w:fldCharType="end"/>
            </w:r>
          </w:hyperlink>
        </w:p>
        <w:p w14:paraId="3E673699" w14:textId="3FC1CAC9" w:rsidR="003013DE" w:rsidRPr="003013DE" w:rsidRDefault="003013DE">
          <w:pPr>
            <w:pStyle w:val="TDC3"/>
            <w:rPr>
              <w:rFonts w:eastAsiaTheme="minorEastAsia"/>
              <w:noProof/>
              <w:lang w:eastAsia="es-CR"/>
            </w:rPr>
          </w:pPr>
          <w:hyperlink w:anchor="_Toc223177207" w:history="1">
            <w:r w:rsidRPr="003013DE">
              <w:rPr>
                <w:rStyle w:val="Hipervnculo"/>
                <w:rFonts w:ascii="Times New Roman" w:hAnsi="Times New Roman" w:cs="Times New Roman"/>
                <w:noProof/>
                <w:lang w:eastAsia="es-ES"/>
              </w:rPr>
              <w:t>4.1.4.3 Interacción entre microbiota, nervio vago y neuroinflamación</w:t>
            </w:r>
            <w:r w:rsidRPr="003013DE">
              <w:rPr>
                <w:noProof/>
                <w:webHidden/>
              </w:rPr>
              <w:tab/>
            </w:r>
            <w:r w:rsidRPr="003013DE">
              <w:rPr>
                <w:noProof/>
                <w:webHidden/>
              </w:rPr>
              <w:fldChar w:fldCharType="begin"/>
            </w:r>
            <w:r w:rsidRPr="003013DE">
              <w:rPr>
                <w:noProof/>
                <w:webHidden/>
              </w:rPr>
              <w:instrText xml:space="preserve"> PAGEREF _Toc223177207 \h </w:instrText>
            </w:r>
            <w:r w:rsidRPr="003013DE">
              <w:rPr>
                <w:noProof/>
                <w:webHidden/>
              </w:rPr>
            </w:r>
            <w:r w:rsidRPr="003013DE">
              <w:rPr>
                <w:noProof/>
                <w:webHidden/>
              </w:rPr>
              <w:fldChar w:fldCharType="separate"/>
            </w:r>
            <w:r w:rsidR="00F35382">
              <w:rPr>
                <w:noProof/>
                <w:webHidden/>
              </w:rPr>
              <w:t>91</w:t>
            </w:r>
            <w:r w:rsidRPr="003013DE">
              <w:rPr>
                <w:noProof/>
                <w:webHidden/>
              </w:rPr>
              <w:fldChar w:fldCharType="end"/>
            </w:r>
          </w:hyperlink>
        </w:p>
        <w:p w14:paraId="18A65397" w14:textId="312A13F9" w:rsidR="003013DE" w:rsidRPr="003013DE" w:rsidRDefault="003013DE">
          <w:pPr>
            <w:pStyle w:val="TDC3"/>
            <w:rPr>
              <w:rFonts w:eastAsiaTheme="minorEastAsia"/>
              <w:noProof/>
              <w:lang w:eastAsia="es-CR"/>
            </w:rPr>
          </w:pPr>
          <w:hyperlink w:anchor="_Toc223177208" w:history="1">
            <w:r w:rsidRPr="003013DE">
              <w:rPr>
                <w:rStyle w:val="Hipervnculo"/>
                <w:rFonts w:ascii="Times New Roman" w:hAnsi="Times New Roman" w:cs="Times New Roman"/>
                <w:noProof/>
                <w:lang w:eastAsia="es-ES"/>
              </w:rPr>
              <w:t>4.1.4.4 Relevancia del nervio vago en etapas tempranas de la enfermedad</w:t>
            </w:r>
            <w:r w:rsidRPr="003013DE">
              <w:rPr>
                <w:noProof/>
                <w:webHidden/>
              </w:rPr>
              <w:tab/>
            </w:r>
            <w:r w:rsidRPr="003013DE">
              <w:rPr>
                <w:noProof/>
                <w:webHidden/>
              </w:rPr>
              <w:fldChar w:fldCharType="begin"/>
            </w:r>
            <w:r w:rsidRPr="003013DE">
              <w:rPr>
                <w:noProof/>
                <w:webHidden/>
              </w:rPr>
              <w:instrText xml:space="preserve"> PAGEREF _Toc223177208 \h </w:instrText>
            </w:r>
            <w:r w:rsidRPr="003013DE">
              <w:rPr>
                <w:noProof/>
                <w:webHidden/>
              </w:rPr>
            </w:r>
            <w:r w:rsidRPr="003013DE">
              <w:rPr>
                <w:noProof/>
                <w:webHidden/>
              </w:rPr>
              <w:fldChar w:fldCharType="separate"/>
            </w:r>
            <w:r w:rsidR="00F35382">
              <w:rPr>
                <w:noProof/>
                <w:webHidden/>
              </w:rPr>
              <w:t>91</w:t>
            </w:r>
            <w:r w:rsidRPr="003013DE">
              <w:rPr>
                <w:noProof/>
                <w:webHidden/>
              </w:rPr>
              <w:fldChar w:fldCharType="end"/>
            </w:r>
          </w:hyperlink>
        </w:p>
        <w:p w14:paraId="3FE190B0" w14:textId="45A8E1C4" w:rsidR="003013DE" w:rsidRPr="003013DE" w:rsidRDefault="003013DE">
          <w:pPr>
            <w:pStyle w:val="TDC2"/>
            <w:tabs>
              <w:tab w:val="right" w:leader="dot" w:pos="8828"/>
            </w:tabs>
            <w:rPr>
              <w:rFonts w:eastAsiaTheme="minorEastAsia"/>
              <w:noProof/>
              <w:lang w:eastAsia="es-CR"/>
            </w:rPr>
          </w:pPr>
          <w:hyperlink w:anchor="_Toc223177209" w:history="1">
            <w:r w:rsidRPr="003013DE">
              <w:rPr>
                <w:rStyle w:val="Hipervnculo"/>
                <w:rFonts w:ascii="Times New Roman" w:hAnsi="Times New Roman" w:cs="Times New Roman"/>
                <w:noProof/>
                <w:lang w:eastAsia="es-ES"/>
              </w:rPr>
              <w:t>4.1.5 Disregulación del sistema inmunológico adaptativo y su contribución a la neurodegeneración</w:t>
            </w:r>
            <w:r w:rsidRPr="003013DE">
              <w:rPr>
                <w:noProof/>
                <w:webHidden/>
              </w:rPr>
              <w:tab/>
            </w:r>
            <w:r w:rsidRPr="003013DE">
              <w:rPr>
                <w:noProof/>
                <w:webHidden/>
              </w:rPr>
              <w:fldChar w:fldCharType="begin"/>
            </w:r>
            <w:r w:rsidRPr="003013DE">
              <w:rPr>
                <w:noProof/>
                <w:webHidden/>
              </w:rPr>
              <w:instrText xml:space="preserve"> PAGEREF _Toc223177209 \h </w:instrText>
            </w:r>
            <w:r w:rsidRPr="003013DE">
              <w:rPr>
                <w:noProof/>
                <w:webHidden/>
              </w:rPr>
            </w:r>
            <w:r w:rsidRPr="003013DE">
              <w:rPr>
                <w:noProof/>
                <w:webHidden/>
              </w:rPr>
              <w:fldChar w:fldCharType="separate"/>
            </w:r>
            <w:r w:rsidR="00F35382">
              <w:rPr>
                <w:noProof/>
                <w:webHidden/>
              </w:rPr>
              <w:t>92</w:t>
            </w:r>
            <w:r w:rsidRPr="003013DE">
              <w:rPr>
                <w:noProof/>
                <w:webHidden/>
              </w:rPr>
              <w:fldChar w:fldCharType="end"/>
            </w:r>
          </w:hyperlink>
        </w:p>
        <w:p w14:paraId="4B7878B1" w14:textId="7A0732E4" w:rsidR="003013DE" w:rsidRPr="003013DE" w:rsidRDefault="003013DE">
          <w:pPr>
            <w:pStyle w:val="TDC3"/>
            <w:rPr>
              <w:rFonts w:eastAsiaTheme="minorEastAsia"/>
              <w:noProof/>
              <w:lang w:eastAsia="es-CR"/>
            </w:rPr>
          </w:pPr>
          <w:hyperlink w:anchor="_Toc223177210" w:history="1">
            <w:r w:rsidRPr="003013DE">
              <w:rPr>
                <w:rStyle w:val="Hipervnculo"/>
                <w:rFonts w:ascii="Times New Roman" w:hAnsi="Times New Roman" w:cs="Times New Roman"/>
                <w:noProof/>
                <w:lang w:eastAsia="es-ES"/>
              </w:rPr>
              <w:t>4.1.5.1 Microbiota intestinal como modulador de la inmunidad adaptativa</w:t>
            </w:r>
            <w:r w:rsidRPr="003013DE">
              <w:rPr>
                <w:noProof/>
                <w:webHidden/>
              </w:rPr>
              <w:tab/>
            </w:r>
            <w:r w:rsidRPr="003013DE">
              <w:rPr>
                <w:noProof/>
                <w:webHidden/>
              </w:rPr>
              <w:fldChar w:fldCharType="begin"/>
            </w:r>
            <w:r w:rsidRPr="003013DE">
              <w:rPr>
                <w:noProof/>
                <w:webHidden/>
              </w:rPr>
              <w:instrText xml:space="preserve"> PAGEREF _Toc223177210 \h </w:instrText>
            </w:r>
            <w:r w:rsidRPr="003013DE">
              <w:rPr>
                <w:noProof/>
                <w:webHidden/>
              </w:rPr>
            </w:r>
            <w:r w:rsidRPr="003013DE">
              <w:rPr>
                <w:noProof/>
                <w:webHidden/>
              </w:rPr>
              <w:fldChar w:fldCharType="separate"/>
            </w:r>
            <w:r w:rsidR="00F35382">
              <w:rPr>
                <w:noProof/>
                <w:webHidden/>
              </w:rPr>
              <w:t>92</w:t>
            </w:r>
            <w:r w:rsidRPr="003013DE">
              <w:rPr>
                <w:noProof/>
                <w:webHidden/>
              </w:rPr>
              <w:fldChar w:fldCharType="end"/>
            </w:r>
          </w:hyperlink>
        </w:p>
        <w:p w14:paraId="67BB0673" w14:textId="6AA9D410" w:rsidR="003013DE" w:rsidRPr="003013DE" w:rsidRDefault="003013DE">
          <w:pPr>
            <w:pStyle w:val="TDC3"/>
            <w:rPr>
              <w:rFonts w:eastAsiaTheme="minorEastAsia"/>
              <w:noProof/>
              <w:lang w:eastAsia="es-CR"/>
            </w:rPr>
          </w:pPr>
          <w:hyperlink w:anchor="_Toc223177211" w:history="1">
            <w:r w:rsidRPr="003013DE">
              <w:rPr>
                <w:rStyle w:val="Hipervnculo"/>
                <w:rFonts w:ascii="Times New Roman" w:hAnsi="Times New Roman" w:cs="Times New Roman"/>
                <w:noProof/>
                <w:lang w:eastAsia="es-ES"/>
              </w:rPr>
              <w:t>4.1.5.2 Disregulación inmunológica y ruptura de la tolerancia al SNC</w:t>
            </w:r>
            <w:r w:rsidRPr="003013DE">
              <w:rPr>
                <w:noProof/>
                <w:webHidden/>
              </w:rPr>
              <w:tab/>
            </w:r>
            <w:r w:rsidRPr="003013DE">
              <w:rPr>
                <w:noProof/>
                <w:webHidden/>
              </w:rPr>
              <w:fldChar w:fldCharType="begin"/>
            </w:r>
            <w:r w:rsidRPr="003013DE">
              <w:rPr>
                <w:noProof/>
                <w:webHidden/>
              </w:rPr>
              <w:instrText xml:space="preserve"> PAGEREF _Toc223177211 \h </w:instrText>
            </w:r>
            <w:r w:rsidRPr="003013DE">
              <w:rPr>
                <w:noProof/>
                <w:webHidden/>
              </w:rPr>
            </w:r>
            <w:r w:rsidRPr="003013DE">
              <w:rPr>
                <w:noProof/>
                <w:webHidden/>
              </w:rPr>
              <w:fldChar w:fldCharType="separate"/>
            </w:r>
            <w:r w:rsidR="00F35382">
              <w:rPr>
                <w:noProof/>
                <w:webHidden/>
              </w:rPr>
              <w:t>93</w:t>
            </w:r>
            <w:r w:rsidRPr="003013DE">
              <w:rPr>
                <w:noProof/>
                <w:webHidden/>
              </w:rPr>
              <w:fldChar w:fldCharType="end"/>
            </w:r>
          </w:hyperlink>
        </w:p>
        <w:p w14:paraId="0CF3560D" w14:textId="031E35B1" w:rsidR="003013DE" w:rsidRPr="003013DE" w:rsidRDefault="003013DE">
          <w:pPr>
            <w:pStyle w:val="TDC3"/>
            <w:rPr>
              <w:rFonts w:eastAsiaTheme="minorEastAsia"/>
              <w:noProof/>
              <w:lang w:eastAsia="es-CR"/>
            </w:rPr>
          </w:pPr>
          <w:hyperlink w:anchor="_Toc223177212" w:history="1">
            <w:r w:rsidRPr="003013DE">
              <w:rPr>
                <w:rStyle w:val="Hipervnculo"/>
                <w:rFonts w:ascii="Times New Roman" w:hAnsi="Times New Roman" w:cs="Times New Roman"/>
                <w:noProof/>
                <w:lang w:eastAsia="es-ES"/>
              </w:rPr>
              <w:t>4.1.5.3 Evidencia en enfermedades neurodegenerativas específicas</w:t>
            </w:r>
            <w:r w:rsidRPr="003013DE">
              <w:rPr>
                <w:noProof/>
                <w:webHidden/>
              </w:rPr>
              <w:tab/>
            </w:r>
            <w:r w:rsidRPr="003013DE">
              <w:rPr>
                <w:noProof/>
                <w:webHidden/>
              </w:rPr>
              <w:fldChar w:fldCharType="begin"/>
            </w:r>
            <w:r w:rsidRPr="003013DE">
              <w:rPr>
                <w:noProof/>
                <w:webHidden/>
              </w:rPr>
              <w:instrText xml:space="preserve"> PAGEREF _Toc223177212 \h </w:instrText>
            </w:r>
            <w:r w:rsidRPr="003013DE">
              <w:rPr>
                <w:noProof/>
                <w:webHidden/>
              </w:rPr>
            </w:r>
            <w:r w:rsidRPr="003013DE">
              <w:rPr>
                <w:noProof/>
                <w:webHidden/>
              </w:rPr>
              <w:fldChar w:fldCharType="separate"/>
            </w:r>
            <w:r w:rsidR="00F35382">
              <w:rPr>
                <w:noProof/>
                <w:webHidden/>
              </w:rPr>
              <w:t>93</w:t>
            </w:r>
            <w:r w:rsidRPr="003013DE">
              <w:rPr>
                <w:noProof/>
                <w:webHidden/>
              </w:rPr>
              <w:fldChar w:fldCharType="end"/>
            </w:r>
          </w:hyperlink>
        </w:p>
        <w:p w14:paraId="6E38F641" w14:textId="156E3955" w:rsidR="003013DE" w:rsidRPr="003013DE" w:rsidRDefault="003013DE">
          <w:pPr>
            <w:pStyle w:val="TDC3"/>
            <w:rPr>
              <w:rFonts w:eastAsiaTheme="minorEastAsia"/>
              <w:noProof/>
              <w:lang w:eastAsia="es-CR"/>
            </w:rPr>
          </w:pPr>
          <w:hyperlink w:anchor="_Toc223177213" w:history="1">
            <w:r w:rsidRPr="003013DE">
              <w:rPr>
                <w:rStyle w:val="Hipervnculo"/>
                <w:rFonts w:ascii="Times New Roman" w:hAnsi="Times New Roman" w:cs="Times New Roman"/>
                <w:noProof/>
                <w:lang w:eastAsia="es-ES"/>
              </w:rPr>
              <w:t>4.1.5.4 Interacción entre inmunidad adaptativa, microglía y neurodegeneración</w:t>
            </w:r>
            <w:r w:rsidRPr="003013DE">
              <w:rPr>
                <w:noProof/>
                <w:webHidden/>
              </w:rPr>
              <w:tab/>
            </w:r>
            <w:r w:rsidRPr="003013DE">
              <w:rPr>
                <w:noProof/>
                <w:webHidden/>
              </w:rPr>
              <w:fldChar w:fldCharType="begin"/>
            </w:r>
            <w:r w:rsidRPr="003013DE">
              <w:rPr>
                <w:noProof/>
                <w:webHidden/>
              </w:rPr>
              <w:instrText xml:space="preserve"> PAGEREF _Toc223177213 \h </w:instrText>
            </w:r>
            <w:r w:rsidRPr="003013DE">
              <w:rPr>
                <w:noProof/>
                <w:webHidden/>
              </w:rPr>
            </w:r>
            <w:r w:rsidRPr="003013DE">
              <w:rPr>
                <w:noProof/>
                <w:webHidden/>
              </w:rPr>
              <w:fldChar w:fldCharType="separate"/>
            </w:r>
            <w:r w:rsidR="00F35382">
              <w:rPr>
                <w:noProof/>
                <w:webHidden/>
              </w:rPr>
              <w:t>94</w:t>
            </w:r>
            <w:r w:rsidRPr="003013DE">
              <w:rPr>
                <w:noProof/>
                <w:webHidden/>
              </w:rPr>
              <w:fldChar w:fldCharType="end"/>
            </w:r>
          </w:hyperlink>
        </w:p>
        <w:p w14:paraId="1A4C0B09" w14:textId="76C86C82" w:rsidR="003013DE" w:rsidRPr="003013DE" w:rsidRDefault="003013DE">
          <w:pPr>
            <w:pStyle w:val="TDC3"/>
            <w:rPr>
              <w:rFonts w:eastAsiaTheme="minorEastAsia"/>
              <w:noProof/>
              <w:lang w:eastAsia="es-CR"/>
            </w:rPr>
          </w:pPr>
          <w:hyperlink w:anchor="_Toc223177214" w:history="1">
            <w:r w:rsidRPr="003013DE">
              <w:rPr>
                <w:rStyle w:val="Hipervnculo"/>
                <w:rFonts w:ascii="Times New Roman" w:hAnsi="Times New Roman" w:cs="Times New Roman"/>
                <w:noProof/>
                <w:lang w:eastAsia="es-ES"/>
              </w:rPr>
              <w:t>4.1.5.5 Implicaciones temporales y progresión de la enfermedad</w:t>
            </w:r>
            <w:r w:rsidRPr="003013DE">
              <w:rPr>
                <w:noProof/>
                <w:webHidden/>
              </w:rPr>
              <w:tab/>
            </w:r>
            <w:r w:rsidRPr="003013DE">
              <w:rPr>
                <w:noProof/>
                <w:webHidden/>
              </w:rPr>
              <w:fldChar w:fldCharType="begin"/>
            </w:r>
            <w:r w:rsidRPr="003013DE">
              <w:rPr>
                <w:noProof/>
                <w:webHidden/>
              </w:rPr>
              <w:instrText xml:space="preserve"> PAGEREF _Toc223177214 \h </w:instrText>
            </w:r>
            <w:r w:rsidRPr="003013DE">
              <w:rPr>
                <w:noProof/>
                <w:webHidden/>
              </w:rPr>
            </w:r>
            <w:r w:rsidRPr="003013DE">
              <w:rPr>
                <w:noProof/>
                <w:webHidden/>
              </w:rPr>
              <w:fldChar w:fldCharType="separate"/>
            </w:r>
            <w:r w:rsidR="00F35382">
              <w:rPr>
                <w:noProof/>
                <w:webHidden/>
              </w:rPr>
              <w:t>94</w:t>
            </w:r>
            <w:r w:rsidRPr="003013DE">
              <w:rPr>
                <w:noProof/>
                <w:webHidden/>
              </w:rPr>
              <w:fldChar w:fldCharType="end"/>
            </w:r>
          </w:hyperlink>
        </w:p>
        <w:p w14:paraId="72500FA4" w14:textId="178125EB" w:rsidR="003013DE" w:rsidRPr="003013DE" w:rsidRDefault="003013DE">
          <w:pPr>
            <w:pStyle w:val="TDC2"/>
            <w:tabs>
              <w:tab w:val="right" w:leader="dot" w:pos="8828"/>
            </w:tabs>
            <w:rPr>
              <w:rFonts w:eastAsiaTheme="minorEastAsia"/>
              <w:noProof/>
              <w:lang w:eastAsia="es-CR"/>
            </w:rPr>
          </w:pPr>
          <w:hyperlink w:anchor="_Toc223177215" w:history="1">
            <w:r w:rsidRPr="003013DE">
              <w:rPr>
                <w:rStyle w:val="Hipervnculo"/>
                <w:rFonts w:ascii="Times New Roman" w:hAnsi="Times New Roman" w:cs="Times New Roman"/>
                <w:noProof/>
                <w:lang w:eastAsia="es-ES"/>
              </w:rPr>
              <w:t>4.1.6 Discusion y análisis objetivo 1</w:t>
            </w:r>
            <w:r w:rsidRPr="003013DE">
              <w:rPr>
                <w:noProof/>
                <w:webHidden/>
              </w:rPr>
              <w:tab/>
            </w:r>
            <w:r w:rsidRPr="003013DE">
              <w:rPr>
                <w:noProof/>
                <w:webHidden/>
              </w:rPr>
              <w:fldChar w:fldCharType="begin"/>
            </w:r>
            <w:r w:rsidRPr="003013DE">
              <w:rPr>
                <w:noProof/>
                <w:webHidden/>
              </w:rPr>
              <w:instrText xml:space="preserve"> PAGEREF _Toc223177215 \h </w:instrText>
            </w:r>
            <w:r w:rsidRPr="003013DE">
              <w:rPr>
                <w:noProof/>
                <w:webHidden/>
              </w:rPr>
            </w:r>
            <w:r w:rsidRPr="003013DE">
              <w:rPr>
                <w:noProof/>
                <w:webHidden/>
              </w:rPr>
              <w:fldChar w:fldCharType="separate"/>
            </w:r>
            <w:r w:rsidR="00F35382">
              <w:rPr>
                <w:noProof/>
                <w:webHidden/>
              </w:rPr>
              <w:t>95</w:t>
            </w:r>
            <w:r w:rsidRPr="003013DE">
              <w:rPr>
                <w:noProof/>
                <w:webHidden/>
              </w:rPr>
              <w:fldChar w:fldCharType="end"/>
            </w:r>
          </w:hyperlink>
        </w:p>
        <w:p w14:paraId="0474E956" w14:textId="043E6C03" w:rsidR="003013DE" w:rsidRPr="003013DE" w:rsidRDefault="003013DE">
          <w:pPr>
            <w:pStyle w:val="TDC1"/>
            <w:tabs>
              <w:tab w:val="left" w:pos="660"/>
              <w:tab w:val="right" w:leader="dot" w:pos="8828"/>
            </w:tabs>
            <w:rPr>
              <w:rFonts w:eastAsiaTheme="minorEastAsia"/>
              <w:noProof/>
              <w:lang w:eastAsia="es-CR"/>
            </w:rPr>
          </w:pPr>
          <w:hyperlink w:anchor="_Toc223177216" w:history="1">
            <w:r w:rsidRPr="003013DE">
              <w:rPr>
                <w:rStyle w:val="Hipervnculo"/>
                <w:rFonts w:ascii="Times New Roman" w:eastAsia="Times New Roman" w:hAnsi="Times New Roman" w:cs="Times New Roman"/>
                <w:noProof/>
                <w:lang w:val="es-ES"/>
              </w:rPr>
              <w:t>4.2</w:t>
            </w:r>
            <w:r w:rsidRPr="003013DE">
              <w:rPr>
                <w:rFonts w:eastAsiaTheme="minorEastAsia"/>
                <w:noProof/>
                <w:lang w:eastAsia="es-CR"/>
              </w:rPr>
              <w:tab/>
            </w:r>
            <w:r w:rsidRPr="003013DE">
              <w:rPr>
                <w:rStyle w:val="Hipervnculo"/>
                <w:rFonts w:ascii="Times New Roman" w:eastAsia="Times New Roman" w:hAnsi="Times New Roman" w:cs="Times New Roman"/>
                <w:noProof/>
                <w:lang w:eastAsia="es-ES"/>
              </w:rPr>
              <w:t>Objetivo 2. Identificar la relación entre alteraciones de la microbiota intestinal y patologías neurodegenerativas como Alzheimer, Parkinson y esclerosis múltiple.</w:t>
            </w:r>
            <w:r w:rsidRPr="003013DE">
              <w:rPr>
                <w:noProof/>
                <w:webHidden/>
              </w:rPr>
              <w:tab/>
            </w:r>
            <w:r w:rsidRPr="003013DE">
              <w:rPr>
                <w:noProof/>
                <w:webHidden/>
              </w:rPr>
              <w:fldChar w:fldCharType="begin"/>
            </w:r>
            <w:r w:rsidRPr="003013DE">
              <w:rPr>
                <w:noProof/>
                <w:webHidden/>
              </w:rPr>
              <w:instrText xml:space="preserve"> PAGEREF _Toc223177216 \h </w:instrText>
            </w:r>
            <w:r w:rsidRPr="003013DE">
              <w:rPr>
                <w:noProof/>
                <w:webHidden/>
              </w:rPr>
            </w:r>
            <w:r w:rsidRPr="003013DE">
              <w:rPr>
                <w:noProof/>
                <w:webHidden/>
              </w:rPr>
              <w:fldChar w:fldCharType="separate"/>
            </w:r>
            <w:r w:rsidR="00F35382">
              <w:rPr>
                <w:noProof/>
                <w:webHidden/>
              </w:rPr>
              <w:t>98</w:t>
            </w:r>
            <w:r w:rsidRPr="003013DE">
              <w:rPr>
                <w:noProof/>
                <w:webHidden/>
              </w:rPr>
              <w:fldChar w:fldCharType="end"/>
            </w:r>
          </w:hyperlink>
        </w:p>
        <w:p w14:paraId="14284B4E" w14:textId="63FE074F" w:rsidR="003013DE" w:rsidRPr="003013DE" w:rsidRDefault="003013DE">
          <w:pPr>
            <w:pStyle w:val="TDC2"/>
            <w:tabs>
              <w:tab w:val="right" w:leader="dot" w:pos="8828"/>
            </w:tabs>
            <w:rPr>
              <w:rFonts w:eastAsiaTheme="minorEastAsia"/>
              <w:noProof/>
              <w:lang w:eastAsia="es-CR"/>
            </w:rPr>
          </w:pPr>
          <w:hyperlink w:anchor="_Toc223177217" w:history="1">
            <w:r w:rsidRPr="003013DE">
              <w:rPr>
                <w:rStyle w:val="Hipervnculo"/>
                <w:rFonts w:ascii="Times New Roman" w:hAnsi="Times New Roman" w:cs="Times New Roman"/>
                <w:noProof/>
                <w:lang w:val="es-ES"/>
              </w:rPr>
              <w:t>4.2.1 Relación entre alteraciones de la microbiota intestinal y Enfermedad de Alzheimer</w:t>
            </w:r>
            <w:r w:rsidRPr="003013DE">
              <w:rPr>
                <w:noProof/>
                <w:webHidden/>
              </w:rPr>
              <w:tab/>
            </w:r>
            <w:r w:rsidRPr="003013DE">
              <w:rPr>
                <w:noProof/>
                <w:webHidden/>
              </w:rPr>
              <w:fldChar w:fldCharType="begin"/>
            </w:r>
            <w:r w:rsidRPr="003013DE">
              <w:rPr>
                <w:noProof/>
                <w:webHidden/>
              </w:rPr>
              <w:instrText xml:space="preserve"> PAGEREF _Toc223177217 \h </w:instrText>
            </w:r>
            <w:r w:rsidRPr="003013DE">
              <w:rPr>
                <w:noProof/>
                <w:webHidden/>
              </w:rPr>
            </w:r>
            <w:r w:rsidRPr="003013DE">
              <w:rPr>
                <w:noProof/>
                <w:webHidden/>
              </w:rPr>
              <w:fldChar w:fldCharType="separate"/>
            </w:r>
            <w:r w:rsidR="00F35382">
              <w:rPr>
                <w:noProof/>
                <w:webHidden/>
              </w:rPr>
              <w:t>98</w:t>
            </w:r>
            <w:r w:rsidRPr="003013DE">
              <w:rPr>
                <w:noProof/>
                <w:webHidden/>
              </w:rPr>
              <w:fldChar w:fldCharType="end"/>
            </w:r>
          </w:hyperlink>
        </w:p>
        <w:p w14:paraId="68DDB89D" w14:textId="6508A118" w:rsidR="003013DE" w:rsidRPr="003013DE" w:rsidRDefault="003013DE">
          <w:pPr>
            <w:pStyle w:val="TDC2"/>
            <w:tabs>
              <w:tab w:val="right" w:leader="dot" w:pos="8828"/>
            </w:tabs>
            <w:rPr>
              <w:rFonts w:eastAsiaTheme="minorEastAsia"/>
              <w:noProof/>
              <w:lang w:eastAsia="es-CR"/>
            </w:rPr>
          </w:pPr>
          <w:hyperlink w:anchor="_Toc223177218" w:history="1">
            <w:r w:rsidRPr="003013DE">
              <w:rPr>
                <w:rStyle w:val="Hipervnculo"/>
                <w:rFonts w:ascii="Times New Roman" w:hAnsi="Times New Roman" w:cs="Times New Roman"/>
                <w:noProof/>
                <w:lang w:val="es-ES"/>
              </w:rPr>
              <w:t>4.2.2 Alteraciones estructurales del microbiota en EA</w:t>
            </w:r>
            <w:r w:rsidRPr="003013DE">
              <w:rPr>
                <w:noProof/>
                <w:webHidden/>
              </w:rPr>
              <w:tab/>
            </w:r>
            <w:r w:rsidRPr="003013DE">
              <w:rPr>
                <w:noProof/>
                <w:webHidden/>
              </w:rPr>
              <w:fldChar w:fldCharType="begin"/>
            </w:r>
            <w:r w:rsidRPr="003013DE">
              <w:rPr>
                <w:noProof/>
                <w:webHidden/>
              </w:rPr>
              <w:instrText xml:space="preserve"> PAGEREF _Toc223177218 \h </w:instrText>
            </w:r>
            <w:r w:rsidRPr="003013DE">
              <w:rPr>
                <w:noProof/>
                <w:webHidden/>
              </w:rPr>
            </w:r>
            <w:r w:rsidRPr="003013DE">
              <w:rPr>
                <w:noProof/>
                <w:webHidden/>
              </w:rPr>
              <w:fldChar w:fldCharType="separate"/>
            </w:r>
            <w:r w:rsidR="00F35382">
              <w:rPr>
                <w:noProof/>
                <w:webHidden/>
              </w:rPr>
              <w:t>98</w:t>
            </w:r>
            <w:r w:rsidRPr="003013DE">
              <w:rPr>
                <w:noProof/>
                <w:webHidden/>
              </w:rPr>
              <w:fldChar w:fldCharType="end"/>
            </w:r>
          </w:hyperlink>
        </w:p>
        <w:p w14:paraId="1D00519A" w14:textId="36206ACA" w:rsidR="003013DE" w:rsidRPr="003013DE" w:rsidRDefault="003013DE">
          <w:pPr>
            <w:pStyle w:val="TDC2"/>
            <w:tabs>
              <w:tab w:val="right" w:leader="dot" w:pos="8828"/>
            </w:tabs>
            <w:rPr>
              <w:rFonts w:eastAsiaTheme="minorEastAsia"/>
              <w:noProof/>
              <w:lang w:eastAsia="es-CR"/>
            </w:rPr>
          </w:pPr>
          <w:hyperlink w:anchor="_Toc223177219" w:history="1">
            <w:r w:rsidRPr="003013DE">
              <w:rPr>
                <w:rStyle w:val="Hipervnculo"/>
                <w:rFonts w:ascii="Times New Roman" w:hAnsi="Times New Roman" w:cs="Times New Roman"/>
                <w:noProof/>
                <w:lang w:val="es-ES"/>
              </w:rPr>
              <w:t>4.2.3 Mecanismos fisiopatológicos vinculados a la disbiosis</w:t>
            </w:r>
            <w:r w:rsidRPr="003013DE">
              <w:rPr>
                <w:noProof/>
                <w:webHidden/>
              </w:rPr>
              <w:tab/>
            </w:r>
            <w:r w:rsidRPr="003013DE">
              <w:rPr>
                <w:noProof/>
                <w:webHidden/>
              </w:rPr>
              <w:fldChar w:fldCharType="begin"/>
            </w:r>
            <w:r w:rsidRPr="003013DE">
              <w:rPr>
                <w:noProof/>
                <w:webHidden/>
              </w:rPr>
              <w:instrText xml:space="preserve"> PAGEREF _Toc223177219 \h </w:instrText>
            </w:r>
            <w:r w:rsidRPr="003013DE">
              <w:rPr>
                <w:noProof/>
                <w:webHidden/>
              </w:rPr>
            </w:r>
            <w:r w:rsidRPr="003013DE">
              <w:rPr>
                <w:noProof/>
                <w:webHidden/>
              </w:rPr>
              <w:fldChar w:fldCharType="separate"/>
            </w:r>
            <w:r w:rsidR="00F35382">
              <w:rPr>
                <w:noProof/>
                <w:webHidden/>
              </w:rPr>
              <w:t>99</w:t>
            </w:r>
            <w:r w:rsidRPr="003013DE">
              <w:rPr>
                <w:noProof/>
                <w:webHidden/>
              </w:rPr>
              <w:fldChar w:fldCharType="end"/>
            </w:r>
          </w:hyperlink>
        </w:p>
        <w:p w14:paraId="3047505F" w14:textId="637F1FD8" w:rsidR="003013DE" w:rsidRPr="003013DE" w:rsidRDefault="003013DE">
          <w:pPr>
            <w:pStyle w:val="TDC3"/>
            <w:rPr>
              <w:rFonts w:eastAsiaTheme="minorEastAsia"/>
              <w:noProof/>
              <w:lang w:eastAsia="es-CR"/>
            </w:rPr>
          </w:pPr>
          <w:hyperlink w:anchor="_Toc223177220" w:history="1">
            <w:r w:rsidRPr="003013DE">
              <w:rPr>
                <w:rStyle w:val="Hipervnculo"/>
                <w:rFonts w:ascii="Times New Roman" w:hAnsi="Times New Roman" w:cs="Times New Roman"/>
                <w:noProof/>
                <w:lang w:val="es-ES"/>
              </w:rPr>
              <w:t>4.2.3.1 Barrera intestinal y neuroinflamación</w:t>
            </w:r>
            <w:r w:rsidRPr="003013DE">
              <w:rPr>
                <w:noProof/>
                <w:webHidden/>
              </w:rPr>
              <w:tab/>
            </w:r>
            <w:r w:rsidRPr="003013DE">
              <w:rPr>
                <w:noProof/>
                <w:webHidden/>
              </w:rPr>
              <w:fldChar w:fldCharType="begin"/>
            </w:r>
            <w:r w:rsidRPr="003013DE">
              <w:rPr>
                <w:noProof/>
                <w:webHidden/>
              </w:rPr>
              <w:instrText xml:space="preserve"> PAGEREF _Toc223177220 \h </w:instrText>
            </w:r>
            <w:r w:rsidRPr="003013DE">
              <w:rPr>
                <w:noProof/>
                <w:webHidden/>
              </w:rPr>
            </w:r>
            <w:r w:rsidRPr="003013DE">
              <w:rPr>
                <w:noProof/>
                <w:webHidden/>
              </w:rPr>
              <w:fldChar w:fldCharType="separate"/>
            </w:r>
            <w:r w:rsidR="00F35382">
              <w:rPr>
                <w:noProof/>
                <w:webHidden/>
              </w:rPr>
              <w:t>99</w:t>
            </w:r>
            <w:r w:rsidRPr="003013DE">
              <w:rPr>
                <w:noProof/>
                <w:webHidden/>
              </w:rPr>
              <w:fldChar w:fldCharType="end"/>
            </w:r>
          </w:hyperlink>
        </w:p>
        <w:p w14:paraId="3AE314AB" w14:textId="4C993F93" w:rsidR="003013DE" w:rsidRPr="003013DE" w:rsidRDefault="003013DE">
          <w:pPr>
            <w:pStyle w:val="TDC3"/>
            <w:rPr>
              <w:rFonts w:eastAsiaTheme="minorEastAsia"/>
              <w:noProof/>
              <w:lang w:eastAsia="es-CR"/>
            </w:rPr>
          </w:pPr>
          <w:hyperlink w:anchor="_Toc223177221" w:history="1">
            <w:r w:rsidRPr="003013DE">
              <w:rPr>
                <w:rStyle w:val="Hipervnculo"/>
                <w:rFonts w:ascii="Times New Roman" w:hAnsi="Times New Roman" w:cs="Times New Roman"/>
                <w:noProof/>
                <w:lang w:val="es-ES"/>
              </w:rPr>
              <w:t>4.2.3.2 Alteración de metabolitos bacterianos neuroactivos</w:t>
            </w:r>
            <w:r w:rsidRPr="003013DE">
              <w:rPr>
                <w:noProof/>
                <w:webHidden/>
              </w:rPr>
              <w:tab/>
            </w:r>
            <w:r w:rsidRPr="003013DE">
              <w:rPr>
                <w:noProof/>
                <w:webHidden/>
              </w:rPr>
              <w:fldChar w:fldCharType="begin"/>
            </w:r>
            <w:r w:rsidRPr="003013DE">
              <w:rPr>
                <w:noProof/>
                <w:webHidden/>
              </w:rPr>
              <w:instrText xml:space="preserve"> PAGEREF _Toc223177221 \h </w:instrText>
            </w:r>
            <w:r w:rsidRPr="003013DE">
              <w:rPr>
                <w:noProof/>
                <w:webHidden/>
              </w:rPr>
            </w:r>
            <w:r w:rsidRPr="003013DE">
              <w:rPr>
                <w:noProof/>
                <w:webHidden/>
              </w:rPr>
              <w:fldChar w:fldCharType="separate"/>
            </w:r>
            <w:r w:rsidR="00F35382">
              <w:rPr>
                <w:noProof/>
                <w:webHidden/>
              </w:rPr>
              <w:t>99</w:t>
            </w:r>
            <w:r w:rsidRPr="003013DE">
              <w:rPr>
                <w:noProof/>
                <w:webHidden/>
              </w:rPr>
              <w:fldChar w:fldCharType="end"/>
            </w:r>
          </w:hyperlink>
        </w:p>
        <w:p w14:paraId="349CBAE4" w14:textId="6E450173" w:rsidR="003013DE" w:rsidRPr="003013DE" w:rsidRDefault="003013DE">
          <w:pPr>
            <w:pStyle w:val="TDC3"/>
            <w:rPr>
              <w:rFonts w:eastAsiaTheme="minorEastAsia"/>
              <w:noProof/>
              <w:lang w:eastAsia="es-CR"/>
            </w:rPr>
          </w:pPr>
          <w:hyperlink w:anchor="_Toc223177222" w:history="1">
            <w:r w:rsidRPr="003013DE">
              <w:rPr>
                <w:rStyle w:val="Hipervnculo"/>
                <w:rFonts w:ascii="Times New Roman" w:hAnsi="Times New Roman" w:cs="Times New Roman"/>
                <w:noProof/>
                <w:lang w:val="es-ES"/>
              </w:rPr>
              <w:t>4.2.3.3 Producción de amyloides bacterianos</w:t>
            </w:r>
            <w:r w:rsidRPr="003013DE">
              <w:rPr>
                <w:noProof/>
                <w:webHidden/>
              </w:rPr>
              <w:tab/>
            </w:r>
            <w:r w:rsidRPr="003013DE">
              <w:rPr>
                <w:noProof/>
                <w:webHidden/>
              </w:rPr>
              <w:fldChar w:fldCharType="begin"/>
            </w:r>
            <w:r w:rsidRPr="003013DE">
              <w:rPr>
                <w:noProof/>
                <w:webHidden/>
              </w:rPr>
              <w:instrText xml:space="preserve"> PAGEREF _Toc223177222 \h </w:instrText>
            </w:r>
            <w:r w:rsidRPr="003013DE">
              <w:rPr>
                <w:noProof/>
                <w:webHidden/>
              </w:rPr>
            </w:r>
            <w:r w:rsidRPr="003013DE">
              <w:rPr>
                <w:noProof/>
                <w:webHidden/>
              </w:rPr>
              <w:fldChar w:fldCharType="separate"/>
            </w:r>
            <w:r w:rsidR="00F35382">
              <w:rPr>
                <w:noProof/>
                <w:webHidden/>
              </w:rPr>
              <w:t>100</w:t>
            </w:r>
            <w:r w:rsidRPr="003013DE">
              <w:rPr>
                <w:noProof/>
                <w:webHidden/>
              </w:rPr>
              <w:fldChar w:fldCharType="end"/>
            </w:r>
          </w:hyperlink>
        </w:p>
        <w:p w14:paraId="7BBA7D57" w14:textId="355F3801" w:rsidR="003013DE" w:rsidRPr="003013DE" w:rsidRDefault="003013DE">
          <w:pPr>
            <w:pStyle w:val="TDC2"/>
            <w:tabs>
              <w:tab w:val="right" w:leader="dot" w:pos="8828"/>
            </w:tabs>
            <w:rPr>
              <w:rFonts w:eastAsiaTheme="minorEastAsia"/>
              <w:noProof/>
              <w:lang w:eastAsia="es-CR"/>
            </w:rPr>
          </w:pPr>
          <w:hyperlink w:anchor="_Toc223177223" w:history="1">
            <w:r w:rsidRPr="003013DE">
              <w:rPr>
                <w:rStyle w:val="Hipervnculo"/>
                <w:rFonts w:ascii="Times New Roman" w:hAnsi="Times New Roman" w:cs="Times New Roman"/>
                <w:noProof/>
                <w:lang w:val="es-ES"/>
              </w:rPr>
              <w:t>4.2.4 Relación entre disbiosis, biomarcadores clínicos y progresión</w:t>
            </w:r>
            <w:r w:rsidRPr="003013DE">
              <w:rPr>
                <w:noProof/>
                <w:webHidden/>
              </w:rPr>
              <w:tab/>
            </w:r>
            <w:r w:rsidRPr="003013DE">
              <w:rPr>
                <w:noProof/>
                <w:webHidden/>
              </w:rPr>
              <w:fldChar w:fldCharType="begin"/>
            </w:r>
            <w:r w:rsidRPr="003013DE">
              <w:rPr>
                <w:noProof/>
                <w:webHidden/>
              </w:rPr>
              <w:instrText xml:space="preserve"> PAGEREF _Toc223177223 \h </w:instrText>
            </w:r>
            <w:r w:rsidRPr="003013DE">
              <w:rPr>
                <w:noProof/>
                <w:webHidden/>
              </w:rPr>
            </w:r>
            <w:r w:rsidRPr="003013DE">
              <w:rPr>
                <w:noProof/>
                <w:webHidden/>
              </w:rPr>
              <w:fldChar w:fldCharType="separate"/>
            </w:r>
            <w:r w:rsidR="00F35382">
              <w:rPr>
                <w:noProof/>
                <w:webHidden/>
              </w:rPr>
              <w:t>100</w:t>
            </w:r>
            <w:r w:rsidRPr="003013DE">
              <w:rPr>
                <w:noProof/>
                <w:webHidden/>
              </w:rPr>
              <w:fldChar w:fldCharType="end"/>
            </w:r>
          </w:hyperlink>
        </w:p>
        <w:p w14:paraId="3C675B81" w14:textId="552B5FA1" w:rsidR="003013DE" w:rsidRPr="003013DE" w:rsidRDefault="003013DE">
          <w:pPr>
            <w:pStyle w:val="TDC2"/>
            <w:tabs>
              <w:tab w:val="right" w:leader="dot" w:pos="8828"/>
            </w:tabs>
            <w:rPr>
              <w:rFonts w:eastAsiaTheme="minorEastAsia"/>
              <w:noProof/>
              <w:lang w:eastAsia="es-CR"/>
            </w:rPr>
          </w:pPr>
          <w:hyperlink w:anchor="_Toc223177224" w:history="1">
            <w:r w:rsidRPr="003013DE">
              <w:rPr>
                <w:rStyle w:val="Hipervnculo"/>
                <w:rFonts w:ascii="Times New Roman" w:hAnsi="Times New Roman" w:cs="Times New Roman"/>
                <w:noProof/>
                <w:lang w:val="es-ES"/>
              </w:rPr>
              <w:t>4.2.5 Relación entre alteraciones de la microbiota intestinal y Enfermedad de Parkinson</w:t>
            </w:r>
            <w:r w:rsidRPr="003013DE">
              <w:rPr>
                <w:noProof/>
                <w:webHidden/>
              </w:rPr>
              <w:tab/>
            </w:r>
            <w:r w:rsidRPr="003013DE">
              <w:rPr>
                <w:noProof/>
                <w:webHidden/>
              </w:rPr>
              <w:fldChar w:fldCharType="begin"/>
            </w:r>
            <w:r w:rsidRPr="003013DE">
              <w:rPr>
                <w:noProof/>
                <w:webHidden/>
              </w:rPr>
              <w:instrText xml:space="preserve"> PAGEREF _Toc223177224 \h </w:instrText>
            </w:r>
            <w:r w:rsidRPr="003013DE">
              <w:rPr>
                <w:noProof/>
                <w:webHidden/>
              </w:rPr>
            </w:r>
            <w:r w:rsidRPr="003013DE">
              <w:rPr>
                <w:noProof/>
                <w:webHidden/>
              </w:rPr>
              <w:fldChar w:fldCharType="separate"/>
            </w:r>
            <w:r w:rsidR="00F35382">
              <w:rPr>
                <w:noProof/>
                <w:webHidden/>
              </w:rPr>
              <w:t>101</w:t>
            </w:r>
            <w:r w:rsidRPr="003013DE">
              <w:rPr>
                <w:noProof/>
                <w:webHidden/>
              </w:rPr>
              <w:fldChar w:fldCharType="end"/>
            </w:r>
          </w:hyperlink>
        </w:p>
        <w:p w14:paraId="642E4917" w14:textId="38734118" w:rsidR="003013DE" w:rsidRPr="003013DE" w:rsidRDefault="003013DE">
          <w:pPr>
            <w:pStyle w:val="TDC3"/>
            <w:rPr>
              <w:rFonts w:eastAsiaTheme="minorEastAsia"/>
              <w:noProof/>
              <w:lang w:eastAsia="es-CR"/>
            </w:rPr>
          </w:pPr>
          <w:hyperlink w:anchor="_Toc223177225" w:history="1">
            <w:r w:rsidRPr="003013DE">
              <w:rPr>
                <w:rStyle w:val="Hipervnculo"/>
                <w:rFonts w:ascii="Times New Roman" w:hAnsi="Times New Roman" w:cs="Times New Roman"/>
                <w:noProof/>
                <w:lang w:val="es-ES"/>
              </w:rPr>
              <w:t>4.2.5.1 Alteraciones de la microbiota intestinal en Parkinson</w:t>
            </w:r>
            <w:r w:rsidRPr="003013DE">
              <w:rPr>
                <w:noProof/>
                <w:webHidden/>
              </w:rPr>
              <w:tab/>
            </w:r>
            <w:r w:rsidRPr="003013DE">
              <w:rPr>
                <w:noProof/>
                <w:webHidden/>
              </w:rPr>
              <w:fldChar w:fldCharType="begin"/>
            </w:r>
            <w:r w:rsidRPr="003013DE">
              <w:rPr>
                <w:noProof/>
                <w:webHidden/>
              </w:rPr>
              <w:instrText xml:space="preserve"> PAGEREF _Toc223177225 \h </w:instrText>
            </w:r>
            <w:r w:rsidRPr="003013DE">
              <w:rPr>
                <w:noProof/>
                <w:webHidden/>
              </w:rPr>
            </w:r>
            <w:r w:rsidRPr="003013DE">
              <w:rPr>
                <w:noProof/>
                <w:webHidden/>
              </w:rPr>
              <w:fldChar w:fldCharType="separate"/>
            </w:r>
            <w:r w:rsidR="00F35382">
              <w:rPr>
                <w:noProof/>
                <w:webHidden/>
              </w:rPr>
              <w:t>101</w:t>
            </w:r>
            <w:r w:rsidRPr="003013DE">
              <w:rPr>
                <w:noProof/>
                <w:webHidden/>
              </w:rPr>
              <w:fldChar w:fldCharType="end"/>
            </w:r>
          </w:hyperlink>
        </w:p>
        <w:p w14:paraId="5EB6E067" w14:textId="4AADA52C" w:rsidR="003013DE" w:rsidRPr="003013DE" w:rsidRDefault="003013DE">
          <w:pPr>
            <w:pStyle w:val="TDC3"/>
            <w:rPr>
              <w:rFonts w:eastAsiaTheme="minorEastAsia"/>
              <w:noProof/>
              <w:lang w:eastAsia="es-CR"/>
            </w:rPr>
          </w:pPr>
          <w:hyperlink w:anchor="_Toc223177226" w:history="1">
            <w:r w:rsidRPr="003013DE">
              <w:rPr>
                <w:rStyle w:val="Hipervnculo"/>
                <w:rFonts w:ascii="Times New Roman" w:hAnsi="Times New Roman" w:cs="Times New Roman"/>
                <w:noProof/>
                <w:lang w:val="es-ES"/>
              </w:rPr>
              <w:t>4.2.5.2 Evidencia de inicio periférico y propagación neural</w:t>
            </w:r>
            <w:r w:rsidRPr="003013DE">
              <w:rPr>
                <w:noProof/>
                <w:webHidden/>
              </w:rPr>
              <w:tab/>
            </w:r>
            <w:r w:rsidRPr="003013DE">
              <w:rPr>
                <w:noProof/>
                <w:webHidden/>
              </w:rPr>
              <w:fldChar w:fldCharType="begin"/>
            </w:r>
            <w:r w:rsidRPr="003013DE">
              <w:rPr>
                <w:noProof/>
                <w:webHidden/>
              </w:rPr>
              <w:instrText xml:space="preserve"> PAGEREF _Toc223177226 \h </w:instrText>
            </w:r>
            <w:r w:rsidRPr="003013DE">
              <w:rPr>
                <w:noProof/>
                <w:webHidden/>
              </w:rPr>
            </w:r>
            <w:r w:rsidRPr="003013DE">
              <w:rPr>
                <w:noProof/>
                <w:webHidden/>
              </w:rPr>
              <w:fldChar w:fldCharType="separate"/>
            </w:r>
            <w:r w:rsidR="00F35382">
              <w:rPr>
                <w:noProof/>
                <w:webHidden/>
              </w:rPr>
              <w:t>102</w:t>
            </w:r>
            <w:r w:rsidRPr="003013DE">
              <w:rPr>
                <w:noProof/>
                <w:webHidden/>
              </w:rPr>
              <w:fldChar w:fldCharType="end"/>
            </w:r>
          </w:hyperlink>
        </w:p>
        <w:p w14:paraId="28CBC296" w14:textId="431BD67B" w:rsidR="003013DE" w:rsidRPr="003013DE" w:rsidRDefault="003013DE">
          <w:pPr>
            <w:pStyle w:val="TDC3"/>
            <w:rPr>
              <w:rFonts w:eastAsiaTheme="minorEastAsia"/>
              <w:noProof/>
              <w:lang w:eastAsia="es-CR"/>
            </w:rPr>
          </w:pPr>
          <w:hyperlink w:anchor="_Toc223177227" w:history="1">
            <w:r w:rsidRPr="003013DE">
              <w:rPr>
                <w:rStyle w:val="Hipervnculo"/>
                <w:rFonts w:ascii="Times New Roman" w:hAnsi="Times New Roman" w:cs="Times New Roman"/>
                <w:noProof/>
                <w:lang w:val="es-ES"/>
              </w:rPr>
              <w:t>4.2.5.3 Inflamación sistémica y neuroinflamación en Parkinson</w:t>
            </w:r>
            <w:r w:rsidRPr="003013DE">
              <w:rPr>
                <w:noProof/>
                <w:webHidden/>
              </w:rPr>
              <w:tab/>
            </w:r>
            <w:r w:rsidRPr="003013DE">
              <w:rPr>
                <w:noProof/>
                <w:webHidden/>
              </w:rPr>
              <w:fldChar w:fldCharType="begin"/>
            </w:r>
            <w:r w:rsidRPr="003013DE">
              <w:rPr>
                <w:noProof/>
                <w:webHidden/>
              </w:rPr>
              <w:instrText xml:space="preserve"> PAGEREF _Toc223177227 \h </w:instrText>
            </w:r>
            <w:r w:rsidRPr="003013DE">
              <w:rPr>
                <w:noProof/>
                <w:webHidden/>
              </w:rPr>
            </w:r>
            <w:r w:rsidRPr="003013DE">
              <w:rPr>
                <w:noProof/>
                <w:webHidden/>
              </w:rPr>
              <w:fldChar w:fldCharType="separate"/>
            </w:r>
            <w:r w:rsidR="00F35382">
              <w:rPr>
                <w:noProof/>
                <w:webHidden/>
              </w:rPr>
              <w:t>103</w:t>
            </w:r>
            <w:r w:rsidRPr="003013DE">
              <w:rPr>
                <w:noProof/>
                <w:webHidden/>
              </w:rPr>
              <w:fldChar w:fldCharType="end"/>
            </w:r>
          </w:hyperlink>
        </w:p>
        <w:p w14:paraId="2BF4AEF0" w14:textId="0285A5AB" w:rsidR="003013DE" w:rsidRPr="003013DE" w:rsidRDefault="003013DE">
          <w:pPr>
            <w:pStyle w:val="TDC3"/>
            <w:rPr>
              <w:rFonts w:eastAsiaTheme="minorEastAsia"/>
              <w:noProof/>
              <w:lang w:eastAsia="es-CR"/>
            </w:rPr>
          </w:pPr>
          <w:hyperlink w:anchor="_Toc223177228" w:history="1">
            <w:r w:rsidRPr="003013DE">
              <w:rPr>
                <w:rStyle w:val="Hipervnculo"/>
                <w:rFonts w:ascii="Times New Roman" w:hAnsi="Times New Roman" w:cs="Times New Roman"/>
                <w:noProof/>
                <w:lang w:val="es-ES"/>
              </w:rPr>
              <w:t>4.2.5.4 Metabolitos microbianos y función neural</w:t>
            </w:r>
            <w:r w:rsidRPr="003013DE">
              <w:rPr>
                <w:noProof/>
                <w:webHidden/>
              </w:rPr>
              <w:tab/>
            </w:r>
            <w:r w:rsidRPr="003013DE">
              <w:rPr>
                <w:noProof/>
                <w:webHidden/>
              </w:rPr>
              <w:fldChar w:fldCharType="begin"/>
            </w:r>
            <w:r w:rsidRPr="003013DE">
              <w:rPr>
                <w:noProof/>
                <w:webHidden/>
              </w:rPr>
              <w:instrText xml:space="preserve"> PAGEREF _Toc223177228 \h </w:instrText>
            </w:r>
            <w:r w:rsidRPr="003013DE">
              <w:rPr>
                <w:noProof/>
                <w:webHidden/>
              </w:rPr>
            </w:r>
            <w:r w:rsidRPr="003013DE">
              <w:rPr>
                <w:noProof/>
                <w:webHidden/>
              </w:rPr>
              <w:fldChar w:fldCharType="separate"/>
            </w:r>
            <w:r w:rsidR="00F35382">
              <w:rPr>
                <w:noProof/>
                <w:webHidden/>
              </w:rPr>
              <w:t>103</w:t>
            </w:r>
            <w:r w:rsidRPr="003013DE">
              <w:rPr>
                <w:noProof/>
                <w:webHidden/>
              </w:rPr>
              <w:fldChar w:fldCharType="end"/>
            </w:r>
          </w:hyperlink>
        </w:p>
        <w:p w14:paraId="64E7FABD" w14:textId="6946D193" w:rsidR="003013DE" w:rsidRPr="003013DE" w:rsidRDefault="003013DE">
          <w:pPr>
            <w:pStyle w:val="TDC3"/>
            <w:rPr>
              <w:rFonts w:eastAsiaTheme="minorEastAsia"/>
              <w:noProof/>
              <w:lang w:eastAsia="es-CR"/>
            </w:rPr>
          </w:pPr>
          <w:hyperlink w:anchor="_Toc223177229" w:history="1">
            <w:r w:rsidRPr="003013DE">
              <w:rPr>
                <w:rStyle w:val="Hipervnculo"/>
                <w:rFonts w:ascii="Times New Roman" w:hAnsi="Times New Roman" w:cs="Times New Roman"/>
                <w:noProof/>
                <w:lang w:val="es-ES"/>
              </w:rPr>
              <w:t>4.2.5.5 Microbiota y síntomas no motores</w:t>
            </w:r>
            <w:r w:rsidRPr="003013DE">
              <w:rPr>
                <w:noProof/>
                <w:webHidden/>
              </w:rPr>
              <w:tab/>
            </w:r>
            <w:r w:rsidRPr="003013DE">
              <w:rPr>
                <w:noProof/>
                <w:webHidden/>
              </w:rPr>
              <w:fldChar w:fldCharType="begin"/>
            </w:r>
            <w:r w:rsidRPr="003013DE">
              <w:rPr>
                <w:noProof/>
                <w:webHidden/>
              </w:rPr>
              <w:instrText xml:space="preserve"> PAGEREF _Toc223177229 \h </w:instrText>
            </w:r>
            <w:r w:rsidRPr="003013DE">
              <w:rPr>
                <w:noProof/>
                <w:webHidden/>
              </w:rPr>
            </w:r>
            <w:r w:rsidRPr="003013DE">
              <w:rPr>
                <w:noProof/>
                <w:webHidden/>
              </w:rPr>
              <w:fldChar w:fldCharType="separate"/>
            </w:r>
            <w:r w:rsidR="00F35382">
              <w:rPr>
                <w:noProof/>
                <w:webHidden/>
              </w:rPr>
              <w:t>104</w:t>
            </w:r>
            <w:r w:rsidRPr="003013DE">
              <w:rPr>
                <w:noProof/>
                <w:webHidden/>
              </w:rPr>
              <w:fldChar w:fldCharType="end"/>
            </w:r>
          </w:hyperlink>
        </w:p>
        <w:p w14:paraId="328AFE6D" w14:textId="0528A586" w:rsidR="003013DE" w:rsidRPr="003013DE" w:rsidRDefault="003013DE">
          <w:pPr>
            <w:pStyle w:val="TDC2"/>
            <w:tabs>
              <w:tab w:val="right" w:leader="dot" w:pos="8828"/>
            </w:tabs>
            <w:rPr>
              <w:rFonts w:eastAsiaTheme="minorEastAsia"/>
              <w:noProof/>
              <w:lang w:eastAsia="es-CR"/>
            </w:rPr>
          </w:pPr>
          <w:hyperlink w:anchor="_Toc223177230" w:history="1">
            <w:r w:rsidRPr="003013DE">
              <w:rPr>
                <w:rStyle w:val="Hipervnculo"/>
                <w:rFonts w:ascii="Times New Roman" w:hAnsi="Times New Roman" w:cs="Times New Roman"/>
                <w:noProof/>
                <w:lang w:val="es-ES"/>
              </w:rPr>
              <w:t>5.2.6 Discusión y análisis objetivo 2</w:t>
            </w:r>
            <w:r w:rsidRPr="003013DE">
              <w:rPr>
                <w:noProof/>
                <w:webHidden/>
              </w:rPr>
              <w:tab/>
            </w:r>
            <w:r w:rsidRPr="003013DE">
              <w:rPr>
                <w:noProof/>
                <w:webHidden/>
              </w:rPr>
              <w:fldChar w:fldCharType="begin"/>
            </w:r>
            <w:r w:rsidRPr="003013DE">
              <w:rPr>
                <w:noProof/>
                <w:webHidden/>
              </w:rPr>
              <w:instrText xml:space="preserve"> PAGEREF _Toc223177230 \h </w:instrText>
            </w:r>
            <w:r w:rsidRPr="003013DE">
              <w:rPr>
                <w:noProof/>
                <w:webHidden/>
              </w:rPr>
            </w:r>
            <w:r w:rsidRPr="003013DE">
              <w:rPr>
                <w:noProof/>
                <w:webHidden/>
              </w:rPr>
              <w:fldChar w:fldCharType="separate"/>
            </w:r>
            <w:r w:rsidR="00F35382">
              <w:rPr>
                <w:noProof/>
                <w:webHidden/>
              </w:rPr>
              <w:t>104</w:t>
            </w:r>
            <w:r w:rsidRPr="003013DE">
              <w:rPr>
                <w:noProof/>
                <w:webHidden/>
              </w:rPr>
              <w:fldChar w:fldCharType="end"/>
            </w:r>
          </w:hyperlink>
        </w:p>
        <w:p w14:paraId="194F664E" w14:textId="000C66B0" w:rsidR="003013DE" w:rsidRPr="003013DE" w:rsidRDefault="003013DE">
          <w:pPr>
            <w:pStyle w:val="TDC2"/>
            <w:tabs>
              <w:tab w:val="left" w:pos="880"/>
              <w:tab w:val="right" w:leader="dot" w:pos="8828"/>
            </w:tabs>
            <w:rPr>
              <w:rFonts w:eastAsiaTheme="minorEastAsia"/>
              <w:noProof/>
              <w:lang w:eastAsia="es-CR"/>
            </w:rPr>
          </w:pPr>
          <w:hyperlink w:anchor="_Toc223177231" w:history="1">
            <w:r w:rsidRPr="003013DE">
              <w:rPr>
                <w:rStyle w:val="Hipervnculo"/>
                <w:rFonts w:ascii="Times New Roman" w:eastAsia="Times New Roman" w:hAnsi="Times New Roman" w:cs="Times New Roman"/>
                <w:noProof/>
                <w:lang w:val="es-ES"/>
              </w:rPr>
              <w:t>4.3</w:t>
            </w:r>
            <w:r w:rsidRPr="003013DE">
              <w:rPr>
                <w:rFonts w:eastAsiaTheme="minorEastAsia"/>
                <w:noProof/>
                <w:lang w:eastAsia="es-CR"/>
              </w:rPr>
              <w:tab/>
            </w:r>
            <w:r w:rsidRPr="003013DE">
              <w:rPr>
                <w:rStyle w:val="Hipervnculo"/>
                <w:rFonts w:ascii="Times New Roman" w:eastAsia="Times New Roman" w:hAnsi="Times New Roman" w:cs="Times New Roman"/>
                <w:noProof/>
                <w:lang w:eastAsia="es-ES"/>
              </w:rPr>
              <w:t>Objetivo 3. Revisar críticamente las intervenciones terapéuticas dirigidas a modular el microbiota intestinal y su impacto en la salud neurológica.</w:t>
            </w:r>
            <w:r w:rsidRPr="003013DE">
              <w:rPr>
                <w:noProof/>
                <w:webHidden/>
              </w:rPr>
              <w:tab/>
            </w:r>
            <w:r w:rsidRPr="003013DE">
              <w:rPr>
                <w:noProof/>
                <w:webHidden/>
              </w:rPr>
              <w:fldChar w:fldCharType="begin"/>
            </w:r>
            <w:r w:rsidRPr="003013DE">
              <w:rPr>
                <w:noProof/>
                <w:webHidden/>
              </w:rPr>
              <w:instrText xml:space="preserve"> PAGEREF _Toc223177231 \h </w:instrText>
            </w:r>
            <w:r w:rsidRPr="003013DE">
              <w:rPr>
                <w:noProof/>
                <w:webHidden/>
              </w:rPr>
            </w:r>
            <w:r w:rsidRPr="003013DE">
              <w:rPr>
                <w:noProof/>
                <w:webHidden/>
              </w:rPr>
              <w:fldChar w:fldCharType="separate"/>
            </w:r>
            <w:r w:rsidR="00F35382">
              <w:rPr>
                <w:noProof/>
                <w:webHidden/>
              </w:rPr>
              <w:t>107</w:t>
            </w:r>
            <w:r w:rsidRPr="003013DE">
              <w:rPr>
                <w:noProof/>
                <w:webHidden/>
              </w:rPr>
              <w:fldChar w:fldCharType="end"/>
            </w:r>
          </w:hyperlink>
        </w:p>
        <w:p w14:paraId="1614757C" w14:textId="0E14093D" w:rsidR="003013DE" w:rsidRPr="003013DE" w:rsidRDefault="003013DE">
          <w:pPr>
            <w:pStyle w:val="TDC2"/>
            <w:tabs>
              <w:tab w:val="right" w:leader="dot" w:pos="8828"/>
            </w:tabs>
            <w:rPr>
              <w:rFonts w:eastAsiaTheme="minorEastAsia"/>
              <w:noProof/>
              <w:lang w:eastAsia="es-CR"/>
            </w:rPr>
          </w:pPr>
          <w:hyperlink w:anchor="_Toc223177232" w:history="1">
            <w:r w:rsidRPr="003013DE">
              <w:rPr>
                <w:rStyle w:val="Hipervnculo"/>
                <w:rFonts w:ascii="Times New Roman" w:hAnsi="Times New Roman" w:cs="Times New Roman"/>
                <w:noProof/>
              </w:rPr>
              <w:t>4.3.1 Probióticos y su efecto sobre la función neurológica</w:t>
            </w:r>
            <w:r w:rsidRPr="003013DE">
              <w:rPr>
                <w:noProof/>
                <w:webHidden/>
              </w:rPr>
              <w:tab/>
            </w:r>
            <w:r w:rsidRPr="003013DE">
              <w:rPr>
                <w:noProof/>
                <w:webHidden/>
              </w:rPr>
              <w:fldChar w:fldCharType="begin"/>
            </w:r>
            <w:r w:rsidRPr="003013DE">
              <w:rPr>
                <w:noProof/>
                <w:webHidden/>
              </w:rPr>
              <w:instrText xml:space="preserve"> PAGEREF _Toc223177232 \h </w:instrText>
            </w:r>
            <w:r w:rsidRPr="003013DE">
              <w:rPr>
                <w:noProof/>
                <w:webHidden/>
              </w:rPr>
            </w:r>
            <w:r w:rsidRPr="003013DE">
              <w:rPr>
                <w:noProof/>
                <w:webHidden/>
              </w:rPr>
              <w:fldChar w:fldCharType="separate"/>
            </w:r>
            <w:r w:rsidR="00F35382">
              <w:rPr>
                <w:noProof/>
                <w:webHidden/>
              </w:rPr>
              <w:t>108</w:t>
            </w:r>
            <w:r w:rsidRPr="003013DE">
              <w:rPr>
                <w:noProof/>
                <w:webHidden/>
              </w:rPr>
              <w:fldChar w:fldCharType="end"/>
            </w:r>
          </w:hyperlink>
        </w:p>
        <w:p w14:paraId="29EBE3E6" w14:textId="41415529" w:rsidR="003013DE" w:rsidRPr="003013DE" w:rsidRDefault="003013DE">
          <w:pPr>
            <w:pStyle w:val="TDC3"/>
            <w:rPr>
              <w:rFonts w:eastAsiaTheme="minorEastAsia"/>
              <w:noProof/>
              <w:lang w:eastAsia="es-CR"/>
            </w:rPr>
          </w:pPr>
          <w:hyperlink w:anchor="_Toc223177233" w:history="1">
            <w:r w:rsidRPr="003013DE">
              <w:rPr>
                <w:rStyle w:val="Hipervnculo"/>
                <w:rFonts w:ascii="Times New Roman" w:hAnsi="Times New Roman" w:cs="Times New Roman"/>
                <w:noProof/>
              </w:rPr>
              <w:t>4.3.1.1 Prebióticos, simbióticos y metabolitos microbianos</w:t>
            </w:r>
            <w:r w:rsidRPr="003013DE">
              <w:rPr>
                <w:noProof/>
                <w:webHidden/>
              </w:rPr>
              <w:tab/>
            </w:r>
            <w:r w:rsidRPr="003013DE">
              <w:rPr>
                <w:noProof/>
                <w:webHidden/>
              </w:rPr>
              <w:fldChar w:fldCharType="begin"/>
            </w:r>
            <w:r w:rsidRPr="003013DE">
              <w:rPr>
                <w:noProof/>
                <w:webHidden/>
              </w:rPr>
              <w:instrText xml:space="preserve"> PAGEREF _Toc223177233 \h </w:instrText>
            </w:r>
            <w:r w:rsidRPr="003013DE">
              <w:rPr>
                <w:noProof/>
                <w:webHidden/>
              </w:rPr>
            </w:r>
            <w:r w:rsidRPr="003013DE">
              <w:rPr>
                <w:noProof/>
                <w:webHidden/>
              </w:rPr>
              <w:fldChar w:fldCharType="separate"/>
            </w:r>
            <w:r w:rsidR="00F35382">
              <w:rPr>
                <w:noProof/>
                <w:webHidden/>
              </w:rPr>
              <w:t>108</w:t>
            </w:r>
            <w:r w:rsidRPr="003013DE">
              <w:rPr>
                <w:noProof/>
                <w:webHidden/>
              </w:rPr>
              <w:fldChar w:fldCharType="end"/>
            </w:r>
          </w:hyperlink>
        </w:p>
        <w:p w14:paraId="5992BDD4" w14:textId="2579C4DA" w:rsidR="003013DE" w:rsidRPr="003013DE" w:rsidRDefault="003013DE">
          <w:pPr>
            <w:pStyle w:val="TDC2"/>
            <w:tabs>
              <w:tab w:val="right" w:leader="dot" w:pos="8828"/>
            </w:tabs>
            <w:rPr>
              <w:rFonts w:eastAsiaTheme="minorEastAsia"/>
              <w:noProof/>
              <w:lang w:eastAsia="es-CR"/>
            </w:rPr>
          </w:pPr>
          <w:hyperlink w:anchor="_Toc223177234" w:history="1">
            <w:r w:rsidRPr="003013DE">
              <w:rPr>
                <w:rStyle w:val="Hipervnculo"/>
                <w:rFonts w:ascii="Times New Roman" w:hAnsi="Times New Roman" w:cs="Times New Roman"/>
                <w:noProof/>
              </w:rPr>
              <w:t>4.3.2 Trasplante de microbiota fecal (FMT) y terapias de transferencia de microbiota</w:t>
            </w:r>
            <w:r w:rsidRPr="003013DE">
              <w:rPr>
                <w:noProof/>
                <w:webHidden/>
              </w:rPr>
              <w:tab/>
            </w:r>
            <w:r w:rsidRPr="003013DE">
              <w:rPr>
                <w:noProof/>
                <w:webHidden/>
              </w:rPr>
              <w:fldChar w:fldCharType="begin"/>
            </w:r>
            <w:r w:rsidRPr="003013DE">
              <w:rPr>
                <w:noProof/>
                <w:webHidden/>
              </w:rPr>
              <w:instrText xml:space="preserve"> PAGEREF _Toc223177234 \h </w:instrText>
            </w:r>
            <w:r w:rsidRPr="003013DE">
              <w:rPr>
                <w:noProof/>
                <w:webHidden/>
              </w:rPr>
            </w:r>
            <w:r w:rsidRPr="003013DE">
              <w:rPr>
                <w:noProof/>
                <w:webHidden/>
              </w:rPr>
              <w:fldChar w:fldCharType="separate"/>
            </w:r>
            <w:r w:rsidR="00F35382">
              <w:rPr>
                <w:noProof/>
                <w:webHidden/>
              </w:rPr>
              <w:t>109</w:t>
            </w:r>
            <w:r w:rsidRPr="003013DE">
              <w:rPr>
                <w:noProof/>
                <w:webHidden/>
              </w:rPr>
              <w:fldChar w:fldCharType="end"/>
            </w:r>
          </w:hyperlink>
        </w:p>
        <w:p w14:paraId="6D894E99" w14:textId="461B2B31" w:rsidR="003013DE" w:rsidRPr="003013DE" w:rsidRDefault="003013DE">
          <w:pPr>
            <w:pStyle w:val="TDC2"/>
            <w:tabs>
              <w:tab w:val="right" w:leader="dot" w:pos="8828"/>
            </w:tabs>
            <w:rPr>
              <w:rFonts w:eastAsiaTheme="minorEastAsia"/>
              <w:noProof/>
              <w:lang w:eastAsia="es-CR"/>
            </w:rPr>
          </w:pPr>
          <w:hyperlink w:anchor="_Toc223177235" w:history="1">
            <w:r w:rsidRPr="003013DE">
              <w:rPr>
                <w:rStyle w:val="Hipervnculo"/>
                <w:rFonts w:ascii="Times New Roman" w:hAnsi="Times New Roman" w:cs="Times New Roman"/>
                <w:noProof/>
              </w:rPr>
              <w:t>4.3.3 Alimentación y uso de antibióticos</w:t>
            </w:r>
            <w:r w:rsidRPr="003013DE">
              <w:rPr>
                <w:noProof/>
                <w:webHidden/>
              </w:rPr>
              <w:tab/>
            </w:r>
            <w:r w:rsidRPr="003013DE">
              <w:rPr>
                <w:noProof/>
                <w:webHidden/>
              </w:rPr>
              <w:fldChar w:fldCharType="begin"/>
            </w:r>
            <w:r w:rsidRPr="003013DE">
              <w:rPr>
                <w:noProof/>
                <w:webHidden/>
              </w:rPr>
              <w:instrText xml:space="preserve"> PAGEREF _Toc223177235 \h </w:instrText>
            </w:r>
            <w:r w:rsidRPr="003013DE">
              <w:rPr>
                <w:noProof/>
                <w:webHidden/>
              </w:rPr>
            </w:r>
            <w:r w:rsidRPr="003013DE">
              <w:rPr>
                <w:noProof/>
                <w:webHidden/>
              </w:rPr>
              <w:fldChar w:fldCharType="separate"/>
            </w:r>
            <w:r w:rsidR="00F35382">
              <w:rPr>
                <w:noProof/>
                <w:webHidden/>
              </w:rPr>
              <w:t>110</w:t>
            </w:r>
            <w:r w:rsidRPr="003013DE">
              <w:rPr>
                <w:noProof/>
                <w:webHidden/>
              </w:rPr>
              <w:fldChar w:fldCharType="end"/>
            </w:r>
          </w:hyperlink>
        </w:p>
        <w:p w14:paraId="47992297" w14:textId="20B24B4B" w:rsidR="003013DE" w:rsidRPr="003013DE" w:rsidRDefault="003013DE">
          <w:pPr>
            <w:pStyle w:val="TDC2"/>
            <w:tabs>
              <w:tab w:val="right" w:leader="dot" w:pos="8828"/>
            </w:tabs>
            <w:rPr>
              <w:rFonts w:eastAsiaTheme="minorEastAsia"/>
              <w:noProof/>
              <w:lang w:eastAsia="es-CR"/>
            </w:rPr>
          </w:pPr>
          <w:hyperlink w:anchor="_Toc223177236" w:history="1">
            <w:r w:rsidRPr="003013DE">
              <w:rPr>
                <w:rStyle w:val="Hipervnculo"/>
                <w:rFonts w:ascii="Times New Roman" w:hAnsi="Times New Roman" w:cs="Times New Roman"/>
                <w:noProof/>
              </w:rPr>
              <w:t>4.3.4 Analsiis y discusión objetivo 3</w:t>
            </w:r>
            <w:r w:rsidRPr="003013DE">
              <w:rPr>
                <w:noProof/>
                <w:webHidden/>
              </w:rPr>
              <w:tab/>
            </w:r>
            <w:r w:rsidRPr="003013DE">
              <w:rPr>
                <w:noProof/>
                <w:webHidden/>
              </w:rPr>
              <w:fldChar w:fldCharType="begin"/>
            </w:r>
            <w:r w:rsidRPr="003013DE">
              <w:rPr>
                <w:noProof/>
                <w:webHidden/>
              </w:rPr>
              <w:instrText xml:space="preserve"> PAGEREF _Toc223177236 \h </w:instrText>
            </w:r>
            <w:r w:rsidRPr="003013DE">
              <w:rPr>
                <w:noProof/>
                <w:webHidden/>
              </w:rPr>
            </w:r>
            <w:r w:rsidRPr="003013DE">
              <w:rPr>
                <w:noProof/>
                <w:webHidden/>
              </w:rPr>
              <w:fldChar w:fldCharType="separate"/>
            </w:r>
            <w:r w:rsidR="00F35382">
              <w:rPr>
                <w:noProof/>
                <w:webHidden/>
              </w:rPr>
              <w:t>112</w:t>
            </w:r>
            <w:r w:rsidRPr="003013DE">
              <w:rPr>
                <w:noProof/>
                <w:webHidden/>
              </w:rPr>
              <w:fldChar w:fldCharType="end"/>
            </w:r>
          </w:hyperlink>
        </w:p>
        <w:p w14:paraId="58D0E0FB" w14:textId="46F58E6B" w:rsidR="003013DE" w:rsidRPr="003013DE" w:rsidRDefault="003013DE">
          <w:pPr>
            <w:pStyle w:val="TDC1"/>
            <w:tabs>
              <w:tab w:val="right" w:leader="dot" w:pos="8828"/>
            </w:tabs>
            <w:rPr>
              <w:rFonts w:eastAsiaTheme="minorEastAsia"/>
              <w:noProof/>
              <w:lang w:eastAsia="es-CR"/>
            </w:rPr>
          </w:pPr>
          <w:hyperlink w:anchor="_Toc223177237" w:history="1">
            <w:r w:rsidRPr="003013DE">
              <w:rPr>
                <w:rStyle w:val="Hipervnculo"/>
                <w:rFonts w:cs="Times New Roman"/>
                <w:noProof/>
              </w:rPr>
              <w:t>CAPÍTULO</w:t>
            </w:r>
            <w:r w:rsidRPr="003013DE">
              <w:rPr>
                <w:rStyle w:val="Hipervnculo"/>
                <w:rFonts w:cs="Times New Roman"/>
                <w:noProof/>
                <w:spacing w:val="-1"/>
              </w:rPr>
              <w:t xml:space="preserve"> </w:t>
            </w:r>
            <w:r w:rsidRPr="003013DE">
              <w:rPr>
                <w:rStyle w:val="Hipervnculo"/>
                <w:rFonts w:cs="Times New Roman"/>
                <w:noProof/>
              </w:rPr>
              <w:t>V-</w:t>
            </w:r>
            <w:r w:rsidRPr="003013DE">
              <w:rPr>
                <w:rStyle w:val="Hipervnculo"/>
                <w:rFonts w:cs="Times New Roman"/>
                <w:noProof/>
                <w:spacing w:val="-1"/>
              </w:rPr>
              <w:t xml:space="preserve"> </w:t>
            </w:r>
            <w:r w:rsidRPr="003013DE">
              <w:rPr>
                <w:rStyle w:val="Hipervnculo"/>
                <w:rFonts w:cs="Times New Roman"/>
                <w:noProof/>
                <w:spacing w:val="-2"/>
              </w:rPr>
              <w:t>CONCLUSIONES Y RECOMENDACIONES</w:t>
            </w:r>
            <w:r w:rsidRPr="003013DE">
              <w:rPr>
                <w:noProof/>
                <w:webHidden/>
              </w:rPr>
              <w:tab/>
            </w:r>
            <w:r w:rsidRPr="003013DE">
              <w:rPr>
                <w:noProof/>
                <w:webHidden/>
              </w:rPr>
              <w:fldChar w:fldCharType="begin"/>
            </w:r>
            <w:r w:rsidRPr="003013DE">
              <w:rPr>
                <w:noProof/>
                <w:webHidden/>
              </w:rPr>
              <w:instrText xml:space="preserve"> PAGEREF _Toc223177237 \h </w:instrText>
            </w:r>
            <w:r w:rsidRPr="003013DE">
              <w:rPr>
                <w:noProof/>
                <w:webHidden/>
              </w:rPr>
            </w:r>
            <w:r w:rsidRPr="003013DE">
              <w:rPr>
                <w:noProof/>
                <w:webHidden/>
              </w:rPr>
              <w:fldChar w:fldCharType="separate"/>
            </w:r>
            <w:r w:rsidR="00F35382">
              <w:rPr>
                <w:noProof/>
                <w:webHidden/>
              </w:rPr>
              <w:t>115</w:t>
            </w:r>
            <w:r w:rsidRPr="003013DE">
              <w:rPr>
                <w:noProof/>
                <w:webHidden/>
              </w:rPr>
              <w:fldChar w:fldCharType="end"/>
            </w:r>
          </w:hyperlink>
        </w:p>
        <w:p w14:paraId="6053ED20" w14:textId="2E568C80" w:rsidR="003013DE" w:rsidRPr="003013DE" w:rsidRDefault="003013DE">
          <w:pPr>
            <w:pStyle w:val="TDC1"/>
            <w:tabs>
              <w:tab w:val="right" w:leader="dot" w:pos="8828"/>
            </w:tabs>
            <w:rPr>
              <w:rFonts w:eastAsiaTheme="minorEastAsia"/>
              <w:noProof/>
              <w:lang w:eastAsia="es-CR"/>
            </w:rPr>
          </w:pPr>
          <w:hyperlink w:anchor="_Toc223177238" w:history="1">
            <w:r w:rsidRPr="003013DE">
              <w:rPr>
                <w:rStyle w:val="Hipervnculo"/>
                <w:rFonts w:cs="Times New Roman"/>
                <w:noProof/>
                <w:spacing w:val="-2"/>
              </w:rPr>
              <w:t>5.1 Conclusiones</w:t>
            </w:r>
            <w:r w:rsidRPr="003013DE">
              <w:rPr>
                <w:noProof/>
                <w:webHidden/>
              </w:rPr>
              <w:tab/>
            </w:r>
            <w:r w:rsidRPr="003013DE">
              <w:rPr>
                <w:noProof/>
                <w:webHidden/>
              </w:rPr>
              <w:fldChar w:fldCharType="begin"/>
            </w:r>
            <w:r w:rsidRPr="003013DE">
              <w:rPr>
                <w:noProof/>
                <w:webHidden/>
              </w:rPr>
              <w:instrText xml:space="preserve"> PAGEREF _Toc223177238 \h </w:instrText>
            </w:r>
            <w:r w:rsidRPr="003013DE">
              <w:rPr>
                <w:noProof/>
                <w:webHidden/>
              </w:rPr>
            </w:r>
            <w:r w:rsidRPr="003013DE">
              <w:rPr>
                <w:noProof/>
                <w:webHidden/>
              </w:rPr>
              <w:fldChar w:fldCharType="separate"/>
            </w:r>
            <w:r w:rsidR="00F35382">
              <w:rPr>
                <w:noProof/>
                <w:webHidden/>
              </w:rPr>
              <w:t>116</w:t>
            </w:r>
            <w:r w:rsidRPr="003013DE">
              <w:rPr>
                <w:noProof/>
                <w:webHidden/>
              </w:rPr>
              <w:fldChar w:fldCharType="end"/>
            </w:r>
          </w:hyperlink>
        </w:p>
        <w:p w14:paraId="0EBCCCB4" w14:textId="714B3A23" w:rsidR="003013DE" w:rsidRPr="003013DE" w:rsidRDefault="003013DE">
          <w:pPr>
            <w:pStyle w:val="TDC1"/>
            <w:tabs>
              <w:tab w:val="right" w:leader="dot" w:pos="8828"/>
            </w:tabs>
            <w:rPr>
              <w:rFonts w:eastAsiaTheme="minorEastAsia"/>
              <w:noProof/>
              <w:lang w:eastAsia="es-CR"/>
            </w:rPr>
          </w:pPr>
          <w:hyperlink w:anchor="_Toc223177239" w:history="1">
            <w:r w:rsidRPr="003013DE">
              <w:rPr>
                <w:rStyle w:val="Hipervnculo"/>
                <w:noProof/>
              </w:rPr>
              <w:t>5.3 Recomendaciones</w:t>
            </w:r>
            <w:r w:rsidRPr="003013DE">
              <w:rPr>
                <w:noProof/>
                <w:webHidden/>
              </w:rPr>
              <w:tab/>
            </w:r>
            <w:r w:rsidRPr="003013DE">
              <w:rPr>
                <w:noProof/>
                <w:webHidden/>
              </w:rPr>
              <w:fldChar w:fldCharType="begin"/>
            </w:r>
            <w:r w:rsidRPr="003013DE">
              <w:rPr>
                <w:noProof/>
                <w:webHidden/>
              </w:rPr>
              <w:instrText xml:space="preserve"> PAGEREF _Toc223177239 \h </w:instrText>
            </w:r>
            <w:r w:rsidRPr="003013DE">
              <w:rPr>
                <w:noProof/>
                <w:webHidden/>
              </w:rPr>
            </w:r>
            <w:r w:rsidRPr="003013DE">
              <w:rPr>
                <w:noProof/>
                <w:webHidden/>
              </w:rPr>
              <w:fldChar w:fldCharType="separate"/>
            </w:r>
            <w:r w:rsidR="00F35382">
              <w:rPr>
                <w:noProof/>
                <w:webHidden/>
              </w:rPr>
              <w:t>117</w:t>
            </w:r>
            <w:r w:rsidRPr="003013DE">
              <w:rPr>
                <w:noProof/>
                <w:webHidden/>
              </w:rPr>
              <w:fldChar w:fldCharType="end"/>
            </w:r>
          </w:hyperlink>
        </w:p>
        <w:p w14:paraId="7C05D454" w14:textId="69F85857" w:rsidR="003013DE" w:rsidRDefault="003013DE">
          <w:pPr>
            <w:pStyle w:val="TDC1"/>
            <w:tabs>
              <w:tab w:val="right" w:leader="dot" w:pos="8828"/>
            </w:tabs>
            <w:rPr>
              <w:rFonts w:eastAsiaTheme="minorEastAsia"/>
              <w:noProof/>
              <w:lang w:eastAsia="es-CR"/>
            </w:rPr>
          </w:pPr>
          <w:hyperlink w:anchor="_Toc223177240" w:history="1">
            <w:r w:rsidRPr="003013DE">
              <w:rPr>
                <w:rStyle w:val="Hipervnculo"/>
                <w:rFonts w:cs="Times New Roman"/>
                <w:noProof/>
                <w:lang w:val="pt-PT"/>
              </w:rPr>
              <w:t>CAPÍTULO</w:t>
            </w:r>
            <w:r w:rsidRPr="003013DE">
              <w:rPr>
                <w:rStyle w:val="Hipervnculo"/>
                <w:rFonts w:cs="Times New Roman"/>
                <w:noProof/>
                <w:spacing w:val="-1"/>
                <w:lang w:val="pt-PT"/>
              </w:rPr>
              <w:t xml:space="preserve"> </w:t>
            </w:r>
            <w:r w:rsidRPr="003013DE">
              <w:rPr>
                <w:rStyle w:val="Hipervnculo"/>
                <w:rFonts w:cs="Times New Roman"/>
                <w:noProof/>
                <w:lang w:val="pt-PT"/>
              </w:rPr>
              <w:t>VI-</w:t>
            </w:r>
            <w:r w:rsidRPr="003013DE">
              <w:rPr>
                <w:rStyle w:val="Hipervnculo"/>
                <w:rFonts w:cs="Times New Roman"/>
                <w:noProof/>
                <w:spacing w:val="-1"/>
                <w:lang w:val="pt-PT"/>
              </w:rPr>
              <w:t xml:space="preserve"> </w:t>
            </w:r>
            <w:r w:rsidRPr="003013DE">
              <w:rPr>
                <w:rStyle w:val="Hipervnculo"/>
                <w:rFonts w:cs="Times New Roman"/>
                <w:noProof/>
                <w:spacing w:val="-2"/>
                <w:lang w:val="pt-PT"/>
              </w:rPr>
              <w:t>REFERENCIAS BIBLIOGRÁFICAS</w:t>
            </w:r>
            <w:r w:rsidRPr="003013DE">
              <w:rPr>
                <w:noProof/>
                <w:webHidden/>
              </w:rPr>
              <w:tab/>
            </w:r>
            <w:r w:rsidRPr="003013DE">
              <w:rPr>
                <w:noProof/>
                <w:webHidden/>
              </w:rPr>
              <w:fldChar w:fldCharType="begin"/>
            </w:r>
            <w:r w:rsidRPr="003013DE">
              <w:rPr>
                <w:noProof/>
                <w:webHidden/>
              </w:rPr>
              <w:instrText xml:space="preserve"> PAGEREF _Toc223177240 \h </w:instrText>
            </w:r>
            <w:r w:rsidRPr="003013DE">
              <w:rPr>
                <w:noProof/>
                <w:webHidden/>
              </w:rPr>
            </w:r>
            <w:r w:rsidRPr="003013DE">
              <w:rPr>
                <w:noProof/>
                <w:webHidden/>
              </w:rPr>
              <w:fldChar w:fldCharType="separate"/>
            </w:r>
            <w:r w:rsidR="00F35382">
              <w:rPr>
                <w:noProof/>
                <w:webHidden/>
              </w:rPr>
              <w:t>118</w:t>
            </w:r>
            <w:r w:rsidRPr="003013DE">
              <w:rPr>
                <w:noProof/>
                <w:webHidden/>
              </w:rPr>
              <w:fldChar w:fldCharType="end"/>
            </w:r>
          </w:hyperlink>
        </w:p>
        <w:p w14:paraId="64553654" w14:textId="06AF8A8A" w:rsidR="003406E6" w:rsidRPr="003013DE" w:rsidRDefault="003406E6">
          <w:r w:rsidRPr="003013DE">
            <w:rPr>
              <w:b/>
              <w:bCs/>
              <w:lang w:val="es-ES"/>
            </w:rPr>
            <w:fldChar w:fldCharType="end"/>
          </w:r>
        </w:p>
      </w:sdtContent>
    </w:sdt>
    <w:p w14:paraId="7133D66A" w14:textId="77777777" w:rsidR="003406E6" w:rsidRPr="003013DE" w:rsidRDefault="003406E6" w:rsidP="00D5047C">
      <w:pPr>
        <w:rPr>
          <w:rFonts w:ascii="Times New Roman" w:hAnsi="Times New Roman" w:cs="Times New Roman"/>
          <w:b/>
          <w:bCs/>
          <w:sz w:val="24"/>
          <w:szCs w:val="24"/>
          <w:lang w:val="es-ES"/>
        </w:rPr>
      </w:pPr>
    </w:p>
    <w:p w14:paraId="24E8B06D" w14:textId="77777777" w:rsidR="00E74F8A" w:rsidRPr="003013DE" w:rsidRDefault="00E74F8A" w:rsidP="00D5047C">
      <w:pPr>
        <w:rPr>
          <w:rFonts w:ascii="Times New Roman" w:hAnsi="Times New Roman" w:cs="Times New Roman"/>
          <w:b/>
          <w:bCs/>
          <w:sz w:val="24"/>
          <w:szCs w:val="24"/>
          <w:lang w:val="es-ES"/>
        </w:rPr>
      </w:pPr>
    </w:p>
    <w:p w14:paraId="5AC7863A" w14:textId="77777777" w:rsidR="00E74F8A" w:rsidRPr="003013DE" w:rsidRDefault="00E74F8A" w:rsidP="00D5047C">
      <w:pPr>
        <w:rPr>
          <w:rFonts w:ascii="Times New Roman" w:hAnsi="Times New Roman" w:cs="Times New Roman"/>
          <w:b/>
          <w:bCs/>
          <w:sz w:val="24"/>
          <w:szCs w:val="24"/>
          <w:lang w:val="es-ES"/>
        </w:rPr>
      </w:pPr>
    </w:p>
    <w:p w14:paraId="32B358B7" w14:textId="77777777" w:rsidR="00E74F8A" w:rsidRPr="003013DE" w:rsidRDefault="00E74F8A" w:rsidP="00D5047C">
      <w:pPr>
        <w:rPr>
          <w:rFonts w:ascii="Times New Roman" w:hAnsi="Times New Roman" w:cs="Times New Roman"/>
          <w:b/>
          <w:bCs/>
          <w:sz w:val="24"/>
          <w:szCs w:val="24"/>
          <w:lang w:val="es-ES"/>
        </w:rPr>
      </w:pPr>
    </w:p>
    <w:p w14:paraId="4FD5B942" w14:textId="77777777" w:rsidR="00E74F8A" w:rsidRPr="003013DE" w:rsidRDefault="00E74F8A" w:rsidP="00D5047C">
      <w:pPr>
        <w:rPr>
          <w:rFonts w:ascii="Times New Roman" w:hAnsi="Times New Roman" w:cs="Times New Roman"/>
          <w:b/>
          <w:bCs/>
          <w:sz w:val="24"/>
          <w:szCs w:val="24"/>
          <w:lang w:val="es-ES"/>
        </w:rPr>
      </w:pPr>
    </w:p>
    <w:p w14:paraId="5075DDE4" w14:textId="77777777" w:rsidR="00E74F8A" w:rsidRPr="003013DE" w:rsidRDefault="00E74F8A" w:rsidP="00D5047C">
      <w:pPr>
        <w:rPr>
          <w:rFonts w:ascii="Times New Roman" w:hAnsi="Times New Roman" w:cs="Times New Roman"/>
          <w:b/>
          <w:bCs/>
          <w:sz w:val="24"/>
          <w:szCs w:val="24"/>
          <w:lang w:val="es-ES"/>
        </w:rPr>
      </w:pPr>
    </w:p>
    <w:p w14:paraId="26B74E49" w14:textId="5A5E20E6" w:rsidR="00E74F8A" w:rsidRPr="003013DE" w:rsidRDefault="00E74F8A" w:rsidP="00D5047C">
      <w:pPr>
        <w:rPr>
          <w:rFonts w:ascii="Times New Roman" w:hAnsi="Times New Roman" w:cs="Times New Roman"/>
          <w:b/>
          <w:bCs/>
          <w:sz w:val="24"/>
          <w:szCs w:val="24"/>
          <w:lang w:val="es-ES"/>
        </w:rPr>
      </w:pPr>
    </w:p>
    <w:p w14:paraId="6821052C" w14:textId="345A901B" w:rsidR="0008506B" w:rsidRPr="003013DE" w:rsidRDefault="0008506B" w:rsidP="00D5047C">
      <w:pPr>
        <w:rPr>
          <w:rFonts w:ascii="Times New Roman" w:hAnsi="Times New Roman" w:cs="Times New Roman"/>
          <w:b/>
          <w:bCs/>
          <w:sz w:val="24"/>
          <w:szCs w:val="24"/>
          <w:lang w:val="es-ES"/>
        </w:rPr>
      </w:pPr>
    </w:p>
    <w:p w14:paraId="11571E93" w14:textId="563C9ACF" w:rsidR="0008506B" w:rsidRPr="003013DE" w:rsidRDefault="0008506B" w:rsidP="00D5047C">
      <w:pPr>
        <w:rPr>
          <w:rFonts w:ascii="Times New Roman" w:hAnsi="Times New Roman" w:cs="Times New Roman"/>
          <w:b/>
          <w:bCs/>
          <w:sz w:val="24"/>
          <w:szCs w:val="24"/>
          <w:lang w:val="es-ES"/>
        </w:rPr>
      </w:pPr>
    </w:p>
    <w:p w14:paraId="6E0BD3E2" w14:textId="56CC7964" w:rsidR="0008506B" w:rsidRPr="003013DE" w:rsidRDefault="0008506B" w:rsidP="00D5047C">
      <w:pPr>
        <w:rPr>
          <w:rFonts w:ascii="Times New Roman" w:hAnsi="Times New Roman" w:cs="Times New Roman"/>
          <w:b/>
          <w:bCs/>
          <w:sz w:val="24"/>
          <w:szCs w:val="24"/>
          <w:lang w:val="es-ES"/>
        </w:rPr>
      </w:pPr>
    </w:p>
    <w:p w14:paraId="7D59C791" w14:textId="49CF8186" w:rsidR="0008506B" w:rsidRPr="003013DE" w:rsidRDefault="0008506B" w:rsidP="00D5047C">
      <w:pPr>
        <w:rPr>
          <w:rFonts w:ascii="Times New Roman" w:hAnsi="Times New Roman" w:cs="Times New Roman"/>
          <w:b/>
          <w:bCs/>
          <w:sz w:val="24"/>
          <w:szCs w:val="24"/>
          <w:lang w:val="es-ES"/>
        </w:rPr>
      </w:pPr>
    </w:p>
    <w:p w14:paraId="38A8CBBF" w14:textId="70FBC1DE" w:rsidR="0008506B" w:rsidRPr="003013DE" w:rsidRDefault="0008506B" w:rsidP="00D5047C">
      <w:pPr>
        <w:rPr>
          <w:rFonts w:ascii="Times New Roman" w:hAnsi="Times New Roman" w:cs="Times New Roman"/>
          <w:b/>
          <w:bCs/>
          <w:sz w:val="24"/>
          <w:szCs w:val="24"/>
          <w:lang w:val="es-ES"/>
        </w:rPr>
      </w:pPr>
    </w:p>
    <w:p w14:paraId="05494588" w14:textId="66FD2AD3" w:rsidR="003013DE" w:rsidRPr="003013DE" w:rsidRDefault="003013DE" w:rsidP="00D5047C">
      <w:pPr>
        <w:rPr>
          <w:rFonts w:ascii="Times New Roman" w:hAnsi="Times New Roman" w:cs="Times New Roman"/>
          <w:b/>
          <w:bCs/>
          <w:sz w:val="24"/>
          <w:szCs w:val="24"/>
          <w:lang w:val="es-ES"/>
        </w:rPr>
      </w:pPr>
    </w:p>
    <w:p w14:paraId="1960D83E" w14:textId="3354721B" w:rsidR="003013DE" w:rsidRPr="003013DE" w:rsidRDefault="003013DE" w:rsidP="00D5047C">
      <w:pPr>
        <w:rPr>
          <w:rFonts w:ascii="Times New Roman" w:hAnsi="Times New Roman" w:cs="Times New Roman"/>
          <w:b/>
          <w:bCs/>
          <w:sz w:val="24"/>
          <w:szCs w:val="24"/>
          <w:lang w:val="es-ES"/>
        </w:rPr>
      </w:pPr>
    </w:p>
    <w:p w14:paraId="49AA3666" w14:textId="21F5B090" w:rsidR="003013DE" w:rsidRPr="003013DE" w:rsidRDefault="003013DE" w:rsidP="00D5047C">
      <w:pPr>
        <w:rPr>
          <w:rFonts w:ascii="Times New Roman" w:hAnsi="Times New Roman" w:cs="Times New Roman"/>
          <w:b/>
          <w:bCs/>
          <w:sz w:val="24"/>
          <w:szCs w:val="24"/>
          <w:lang w:val="es-ES"/>
        </w:rPr>
      </w:pPr>
    </w:p>
    <w:p w14:paraId="69833F0E" w14:textId="6B16E582" w:rsidR="003013DE" w:rsidRPr="003013DE" w:rsidRDefault="003013DE" w:rsidP="00D5047C">
      <w:pPr>
        <w:rPr>
          <w:rFonts w:ascii="Times New Roman" w:hAnsi="Times New Roman" w:cs="Times New Roman"/>
          <w:b/>
          <w:bCs/>
          <w:sz w:val="24"/>
          <w:szCs w:val="24"/>
          <w:lang w:val="es-ES"/>
        </w:rPr>
      </w:pPr>
    </w:p>
    <w:p w14:paraId="345F0A5C" w14:textId="131DDCAF" w:rsidR="003013DE" w:rsidRPr="003013DE" w:rsidRDefault="003013DE" w:rsidP="003013DE">
      <w:pPr>
        <w:pStyle w:val="Ttulo1"/>
        <w:rPr>
          <w:rFonts w:cs="Times New Roman"/>
          <w:color w:val="auto"/>
          <w:szCs w:val="24"/>
          <w:lang w:val="es-ES"/>
        </w:rPr>
      </w:pPr>
      <w:bookmarkStart w:id="4" w:name="_Toc223177107"/>
      <w:r w:rsidRPr="003013DE">
        <w:rPr>
          <w:rFonts w:cs="Times New Roman"/>
          <w:color w:val="auto"/>
          <w:szCs w:val="24"/>
          <w:lang w:val="es-ES"/>
        </w:rPr>
        <w:lastRenderedPageBreak/>
        <w:t>V. Lista de tablas</w:t>
      </w:r>
      <w:bookmarkEnd w:id="4"/>
    </w:p>
    <w:p w14:paraId="7BA7D467" w14:textId="708C6169" w:rsidR="003013DE" w:rsidRPr="003013DE" w:rsidRDefault="003013DE" w:rsidP="003013DE">
      <w:pPr>
        <w:rPr>
          <w:lang w:val="es-ES"/>
        </w:rPr>
      </w:pPr>
    </w:p>
    <w:p w14:paraId="43465569" w14:textId="225B9C5A" w:rsidR="00F35382" w:rsidRPr="00F35382" w:rsidRDefault="003013DE">
      <w:pPr>
        <w:pStyle w:val="Tabladeilustraciones"/>
        <w:tabs>
          <w:tab w:val="right" w:leader="dot" w:pos="8828"/>
        </w:tabs>
        <w:rPr>
          <w:rFonts w:ascii="Times New Roman" w:eastAsiaTheme="minorEastAsia" w:hAnsi="Times New Roman" w:cs="Times New Roman"/>
          <w:noProof/>
          <w:sz w:val="24"/>
          <w:szCs w:val="24"/>
          <w:lang w:eastAsia="es-CR"/>
        </w:rPr>
      </w:pPr>
      <w:r w:rsidRPr="00F35382">
        <w:rPr>
          <w:rFonts w:ascii="Times New Roman" w:hAnsi="Times New Roman" w:cs="Times New Roman"/>
          <w:sz w:val="24"/>
          <w:szCs w:val="24"/>
          <w:lang w:val="es-ES"/>
        </w:rPr>
        <w:fldChar w:fldCharType="begin"/>
      </w:r>
      <w:r w:rsidRPr="00F35382">
        <w:rPr>
          <w:rFonts w:ascii="Times New Roman" w:hAnsi="Times New Roman" w:cs="Times New Roman"/>
          <w:sz w:val="24"/>
          <w:szCs w:val="24"/>
          <w:lang w:val="es-ES"/>
        </w:rPr>
        <w:instrText xml:space="preserve"> TOC \h \z \c "Tabla" </w:instrText>
      </w:r>
      <w:r w:rsidRPr="00F35382">
        <w:rPr>
          <w:rFonts w:ascii="Times New Roman" w:hAnsi="Times New Roman" w:cs="Times New Roman"/>
          <w:sz w:val="24"/>
          <w:szCs w:val="24"/>
          <w:lang w:val="es-ES"/>
        </w:rPr>
        <w:fldChar w:fldCharType="separate"/>
      </w:r>
      <w:hyperlink w:anchor="_Toc223177494" w:history="1">
        <w:r w:rsidR="00F35382" w:rsidRPr="00F35382">
          <w:rPr>
            <w:rStyle w:val="Hipervnculo"/>
            <w:rFonts w:ascii="Times New Roman" w:hAnsi="Times New Roman" w:cs="Times New Roman"/>
            <w:noProof/>
            <w:sz w:val="24"/>
            <w:szCs w:val="24"/>
          </w:rPr>
          <w:t>Tabla 1 Criterios de búsqueda</w:t>
        </w:r>
        <w:r w:rsidR="00F35382" w:rsidRPr="00F35382">
          <w:rPr>
            <w:rFonts w:ascii="Times New Roman" w:hAnsi="Times New Roman" w:cs="Times New Roman"/>
            <w:noProof/>
            <w:webHidden/>
            <w:sz w:val="24"/>
            <w:szCs w:val="24"/>
          </w:rPr>
          <w:tab/>
        </w:r>
        <w:r w:rsidR="00F35382" w:rsidRPr="00F35382">
          <w:rPr>
            <w:rFonts w:ascii="Times New Roman" w:hAnsi="Times New Roman" w:cs="Times New Roman"/>
            <w:noProof/>
            <w:webHidden/>
            <w:sz w:val="24"/>
            <w:szCs w:val="24"/>
          </w:rPr>
          <w:fldChar w:fldCharType="begin"/>
        </w:r>
        <w:r w:rsidR="00F35382" w:rsidRPr="00F35382">
          <w:rPr>
            <w:rFonts w:ascii="Times New Roman" w:hAnsi="Times New Roman" w:cs="Times New Roman"/>
            <w:noProof/>
            <w:webHidden/>
            <w:sz w:val="24"/>
            <w:szCs w:val="24"/>
          </w:rPr>
          <w:instrText xml:space="preserve"> PAGEREF _Toc223177494 \h </w:instrText>
        </w:r>
        <w:r w:rsidR="00F35382" w:rsidRPr="00F35382">
          <w:rPr>
            <w:rFonts w:ascii="Times New Roman" w:hAnsi="Times New Roman" w:cs="Times New Roman"/>
            <w:noProof/>
            <w:webHidden/>
            <w:sz w:val="24"/>
            <w:szCs w:val="24"/>
          </w:rPr>
        </w:r>
        <w:r w:rsidR="00F35382" w:rsidRPr="00F35382">
          <w:rPr>
            <w:rFonts w:ascii="Times New Roman" w:hAnsi="Times New Roman" w:cs="Times New Roman"/>
            <w:noProof/>
            <w:webHidden/>
            <w:sz w:val="24"/>
            <w:szCs w:val="24"/>
          </w:rPr>
          <w:fldChar w:fldCharType="separate"/>
        </w:r>
        <w:r w:rsidR="00F35382" w:rsidRPr="00F35382">
          <w:rPr>
            <w:rFonts w:ascii="Times New Roman" w:hAnsi="Times New Roman" w:cs="Times New Roman"/>
            <w:noProof/>
            <w:webHidden/>
            <w:sz w:val="24"/>
            <w:szCs w:val="24"/>
          </w:rPr>
          <w:t>74</w:t>
        </w:r>
        <w:r w:rsidR="00F35382" w:rsidRPr="00F35382">
          <w:rPr>
            <w:rFonts w:ascii="Times New Roman" w:hAnsi="Times New Roman" w:cs="Times New Roman"/>
            <w:noProof/>
            <w:webHidden/>
            <w:sz w:val="24"/>
            <w:szCs w:val="24"/>
          </w:rPr>
          <w:fldChar w:fldCharType="end"/>
        </w:r>
      </w:hyperlink>
    </w:p>
    <w:p w14:paraId="7C477495" w14:textId="68C58785" w:rsidR="00F35382" w:rsidRPr="00F35382" w:rsidRDefault="00F35382">
      <w:pPr>
        <w:pStyle w:val="Tabladeilustraciones"/>
        <w:tabs>
          <w:tab w:val="right" w:leader="dot" w:pos="8828"/>
        </w:tabs>
        <w:rPr>
          <w:rFonts w:ascii="Times New Roman" w:eastAsiaTheme="minorEastAsia" w:hAnsi="Times New Roman" w:cs="Times New Roman"/>
          <w:noProof/>
          <w:sz w:val="24"/>
          <w:szCs w:val="24"/>
          <w:lang w:eastAsia="es-CR"/>
        </w:rPr>
      </w:pPr>
      <w:hyperlink w:anchor="_Toc223177495" w:history="1">
        <w:r w:rsidRPr="00F35382">
          <w:rPr>
            <w:rStyle w:val="Hipervnculo"/>
            <w:rFonts w:ascii="Times New Roman" w:hAnsi="Times New Roman" w:cs="Times New Roman"/>
            <w:noProof/>
            <w:sz w:val="24"/>
            <w:szCs w:val="24"/>
          </w:rPr>
          <w:t xml:space="preserve">Tabla 2 </w:t>
        </w:r>
        <w:r w:rsidRPr="00F35382">
          <w:rPr>
            <w:rStyle w:val="Hipervnculo"/>
            <w:rFonts w:ascii="Times New Roman" w:eastAsia="Times New Roman" w:hAnsi="Times New Roman" w:cs="Times New Roman"/>
            <w:noProof/>
            <w:sz w:val="24"/>
            <w:szCs w:val="24"/>
            <w:lang w:eastAsia="es-CR"/>
          </w:rPr>
          <w:t>Criterios de inclusión y exclusión</w:t>
        </w:r>
        <w:r w:rsidRPr="00F35382">
          <w:rPr>
            <w:rFonts w:ascii="Times New Roman" w:hAnsi="Times New Roman" w:cs="Times New Roman"/>
            <w:noProof/>
            <w:webHidden/>
            <w:sz w:val="24"/>
            <w:szCs w:val="24"/>
          </w:rPr>
          <w:tab/>
        </w:r>
        <w:r w:rsidRPr="00F35382">
          <w:rPr>
            <w:rFonts w:ascii="Times New Roman" w:hAnsi="Times New Roman" w:cs="Times New Roman"/>
            <w:noProof/>
            <w:webHidden/>
            <w:sz w:val="24"/>
            <w:szCs w:val="24"/>
          </w:rPr>
          <w:fldChar w:fldCharType="begin"/>
        </w:r>
        <w:r w:rsidRPr="00F35382">
          <w:rPr>
            <w:rFonts w:ascii="Times New Roman" w:hAnsi="Times New Roman" w:cs="Times New Roman"/>
            <w:noProof/>
            <w:webHidden/>
            <w:sz w:val="24"/>
            <w:szCs w:val="24"/>
          </w:rPr>
          <w:instrText xml:space="preserve"> PAGEREF _Toc223177495 \h </w:instrText>
        </w:r>
        <w:r w:rsidRPr="00F35382">
          <w:rPr>
            <w:rFonts w:ascii="Times New Roman" w:hAnsi="Times New Roman" w:cs="Times New Roman"/>
            <w:noProof/>
            <w:webHidden/>
            <w:sz w:val="24"/>
            <w:szCs w:val="24"/>
          </w:rPr>
        </w:r>
        <w:r w:rsidRPr="00F35382">
          <w:rPr>
            <w:rFonts w:ascii="Times New Roman" w:hAnsi="Times New Roman" w:cs="Times New Roman"/>
            <w:noProof/>
            <w:webHidden/>
            <w:sz w:val="24"/>
            <w:szCs w:val="24"/>
          </w:rPr>
          <w:fldChar w:fldCharType="separate"/>
        </w:r>
        <w:r w:rsidRPr="00F35382">
          <w:rPr>
            <w:rFonts w:ascii="Times New Roman" w:hAnsi="Times New Roman" w:cs="Times New Roman"/>
            <w:noProof/>
            <w:webHidden/>
            <w:sz w:val="24"/>
            <w:szCs w:val="24"/>
          </w:rPr>
          <w:t>76</w:t>
        </w:r>
        <w:r w:rsidRPr="00F35382">
          <w:rPr>
            <w:rFonts w:ascii="Times New Roman" w:hAnsi="Times New Roman" w:cs="Times New Roman"/>
            <w:noProof/>
            <w:webHidden/>
            <w:sz w:val="24"/>
            <w:szCs w:val="24"/>
          </w:rPr>
          <w:fldChar w:fldCharType="end"/>
        </w:r>
      </w:hyperlink>
    </w:p>
    <w:p w14:paraId="5C50775B" w14:textId="754BF964" w:rsidR="00F35382" w:rsidRPr="00F35382" w:rsidRDefault="00F35382">
      <w:pPr>
        <w:pStyle w:val="Tabladeilustraciones"/>
        <w:tabs>
          <w:tab w:val="right" w:leader="dot" w:pos="8828"/>
        </w:tabs>
        <w:rPr>
          <w:rFonts w:ascii="Times New Roman" w:eastAsiaTheme="minorEastAsia" w:hAnsi="Times New Roman" w:cs="Times New Roman"/>
          <w:noProof/>
          <w:sz w:val="24"/>
          <w:szCs w:val="24"/>
          <w:lang w:eastAsia="es-CR"/>
        </w:rPr>
      </w:pPr>
      <w:hyperlink w:anchor="_Toc223177496" w:history="1">
        <w:r w:rsidRPr="00F35382">
          <w:rPr>
            <w:rStyle w:val="Hipervnculo"/>
            <w:rFonts w:ascii="Times New Roman" w:hAnsi="Times New Roman" w:cs="Times New Roman"/>
            <w:noProof/>
            <w:sz w:val="24"/>
            <w:szCs w:val="24"/>
          </w:rPr>
          <w:t xml:space="preserve">Tabla 3 </w:t>
        </w:r>
        <w:r w:rsidRPr="00F35382">
          <w:rPr>
            <w:rStyle w:val="Hipervnculo"/>
            <w:rFonts w:ascii="Times New Roman" w:eastAsiaTheme="majorEastAsia" w:hAnsi="Times New Roman" w:cs="Times New Roman"/>
            <w:noProof/>
            <w:sz w:val="24"/>
            <w:szCs w:val="24"/>
            <w:lang w:val="es-ES" w:eastAsia="es-ES"/>
          </w:rPr>
          <w:t>Cantidad de artículos según nivel de evidencia</w:t>
        </w:r>
        <w:r w:rsidRPr="00F35382">
          <w:rPr>
            <w:rFonts w:ascii="Times New Roman" w:hAnsi="Times New Roman" w:cs="Times New Roman"/>
            <w:noProof/>
            <w:webHidden/>
            <w:sz w:val="24"/>
            <w:szCs w:val="24"/>
          </w:rPr>
          <w:tab/>
        </w:r>
        <w:r w:rsidRPr="00F35382">
          <w:rPr>
            <w:rFonts w:ascii="Times New Roman" w:hAnsi="Times New Roman" w:cs="Times New Roman"/>
            <w:noProof/>
            <w:webHidden/>
            <w:sz w:val="24"/>
            <w:szCs w:val="24"/>
          </w:rPr>
          <w:fldChar w:fldCharType="begin"/>
        </w:r>
        <w:r w:rsidRPr="00F35382">
          <w:rPr>
            <w:rFonts w:ascii="Times New Roman" w:hAnsi="Times New Roman" w:cs="Times New Roman"/>
            <w:noProof/>
            <w:webHidden/>
            <w:sz w:val="24"/>
            <w:szCs w:val="24"/>
          </w:rPr>
          <w:instrText xml:space="preserve"> PAGEREF _Toc223177496 \h </w:instrText>
        </w:r>
        <w:r w:rsidRPr="00F35382">
          <w:rPr>
            <w:rFonts w:ascii="Times New Roman" w:hAnsi="Times New Roman" w:cs="Times New Roman"/>
            <w:noProof/>
            <w:webHidden/>
            <w:sz w:val="24"/>
            <w:szCs w:val="24"/>
          </w:rPr>
        </w:r>
        <w:r w:rsidRPr="00F35382">
          <w:rPr>
            <w:rFonts w:ascii="Times New Roman" w:hAnsi="Times New Roman" w:cs="Times New Roman"/>
            <w:noProof/>
            <w:webHidden/>
            <w:sz w:val="24"/>
            <w:szCs w:val="24"/>
          </w:rPr>
          <w:fldChar w:fldCharType="separate"/>
        </w:r>
        <w:r w:rsidRPr="00F35382">
          <w:rPr>
            <w:rFonts w:ascii="Times New Roman" w:hAnsi="Times New Roman" w:cs="Times New Roman"/>
            <w:noProof/>
            <w:webHidden/>
            <w:sz w:val="24"/>
            <w:szCs w:val="24"/>
          </w:rPr>
          <w:t>79</w:t>
        </w:r>
        <w:r w:rsidRPr="00F35382">
          <w:rPr>
            <w:rFonts w:ascii="Times New Roman" w:hAnsi="Times New Roman" w:cs="Times New Roman"/>
            <w:noProof/>
            <w:webHidden/>
            <w:sz w:val="24"/>
            <w:szCs w:val="24"/>
          </w:rPr>
          <w:fldChar w:fldCharType="end"/>
        </w:r>
      </w:hyperlink>
    </w:p>
    <w:p w14:paraId="5481EBDC" w14:textId="15FFC862" w:rsidR="003013DE" w:rsidRPr="00F35382" w:rsidRDefault="003013DE" w:rsidP="003013DE">
      <w:pPr>
        <w:rPr>
          <w:rFonts w:ascii="Times New Roman" w:hAnsi="Times New Roman" w:cs="Times New Roman"/>
          <w:sz w:val="24"/>
          <w:szCs w:val="24"/>
          <w:lang w:val="es-ES"/>
        </w:rPr>
      </w:pPr>
      <w:r w:rsidRPr="00F35382">
        <w:rPr>
          <w:rFonts w:ascii="Times New Roman" w:hAnsi="Times New Roman" w:cs="Times New Roman"/>
          <w:sz w:val="24"/>
          <w:szCs w:val="24"/>
          <w:lang w:val="es-ES"/>
        </w:rPr>
        <w:fldChar w:fldCharType="end"/>
      </w:r>
    </w:p>
    <w:p w14:paraId="61DF744D" w14:textId="547DA7BB" w:rsidR="003013DE" w:rsidRPr="003013DE" w:rsidRDefault="003013DE" w:rsidP="003013DE">
      <w:pPr>
        <w:rPr>
          <w:lang w:val="es-ES"/>
        </w:rPr>
      </w:pPr>
    </w:p>
    <w:p w14:paraId="73989124" w14:textId="3F04F49C" w:rsidR="003013DE" w:rsidRPr="003013DE" w:rsidRDefault="003013DE" w:rsidP="003013DE">
      <w:pPr>
        <w:rPr>
          <w:lang w:val="es-ES"/>
        </w:rPr>
      </w:pPr>
    </w:p>
    <w:p w14:paraId="3C28D91E" w14:textId="061E2294" w:rsidR="003013DE" w:rsidRPr="003013DE" w:rsidRDefault="003013DE" w:rsidP="003013DE">
      <w:pPr>
        <w:rPr>
          <w:lang w:val="es-ES"/>
        </w:rPr>
      </w:pPr>
    </w:p>
    <w:p w14:paraId="4D21309A" w14:textId="0D525D90" w:rsidR="003013DE" w:rsidRPr="003013DE" w:rsidRDefault="003013DE" w:rsidP="003013DE">
      <w:pPr>
        <w:rPr>
          <w:lang w:val="es-ES"/>
        </w:rPr>
      </w:pPr>
    </w:p>
    <w:p w14:paraId="2BDC1A15" w14:textId="35E15705" w:rsidR="003013DE" w:rsidRPr="003013DE" w:rsidRDefault="003013DE" w:rsidP="003013DE">
      <w:pPr>
        <w:rPr>
          <w:lang w:val="es-ES"/>
        </w:rPr>
      </w:pPr>
    </w:p>
    <w:p w14:paraId="20D427EB" w14:textId="060C38B1" w:rsidR="003013DE" w:rsidRPr="003013DE" w:rsidRDefault="003013DE" w:rsidP="003013DE">
      <w:pPr>
        <w:rPr>
          <w:lang w:val="es-ES"/>
        </w:rPr>
      </w:pPr>
    </w:p>
    <w:p w14:paraId="1DE79B5F" w14:textId="59404069" w:rsidR="003013DE" w:rsidRPr="003013DE" w:rsidRDefault="003013DE" w:rsidP="003013DE">
      <w:pPr>
        <w:rPr>
          <w:lang w:val="es-ES"/>
        </w:rPr>
      </w:pPr>
    </w:p>
    <w:p w14:paraId="10F3DF21" w14:textId="76C3A670" w:rsidR="003013DE" w:rsidRPr="003013DE" w:rsidRDefault="003013DE" w:rsidP="003013DE">
      <w:pPr>
        <w:rPr>
          <w:lang w:val="es-ES"/>
        </w:rPr>
      </w:pPr>
    </w:p>
    <w:p w14:paraId="4AD51265" w14:textId="6B2F8255" w:rsidR="003013DE" w:rsidRPr="003013DE" w:rsidRDefault="003013DE" w:rsidP="003013DE">
      <w:pPr>
        <w:rPr>
          <w:lang w:val="es-ES"/>
        </w:rPr>
      </w:pPr>
    </w:p>
    <w:p w14:paraId="18A7E853" w14:textId="7C886BED" w:rsidR="003013DE" w:rsidRPr="003013DE" w:rsidRDefault="003013DE" w:rsidP="003013DE">
      <w:pPr>
        <w:rPr>
          <w:lang w:val="es-ES"/>
        </w:rPr>
      </w:pPr>
    </w:p>
    <w:p w14:paraId="18A150A5" w14:textId="7F9F92FE" w:rsidR="003013DE" w:rsidRPr="003013DE" w:rsidRDefault="003013DE" w:rsidP="003013DE">
      <w:pPr>
        <w:rPr>
          <w:lang w:val="es-ES"/>
        </w:rPr>
      </w:pPr>
    </w:p>
    <w:p w14:paraId="27D71E4D" w14:textId="02B2258D" w:rsidR="003013DE" w:rsidRPr="003013DE" w:rsidRDefault="003013DE" w:rsidP="003013DE">
      <w:pPr>
        <w:rPr>
          <w:lang w:val="es-ES"/>
        </w:rPr>
      </w:pPr>
    </w:p>
    <w:p w14:paraId="075740D5" w14:textId="395EDE1C" w:rsidR="003013DE" w:rsidRPr="003013DE" w:rsidRDefault="003013DE" w:rsidP="003013DE">
      <w:pPr>
        <w:rPr>
          <w:lang w:val="es-ES"/>
        </w:rPr>
      </w:pPr>
    </w:p>
    <w:p w14:paraId="077BA185" w14:textId="2CF02F34" w:rsidR="003013DE" w:rsidRPr="003013DE" w:rsidRDefault="003013DE" w:rsidP="003013DE">
      <w:pPr>
        <w:rPr>
          <w:lang w:val="es-ES"/>
        </w:rPr>
      </w:pPr>
    </w:p>
    <w:p w14:paraId="154FA719" w14:textId="2BCA2F51" w:rsidR="003013DE" w:rsidRPr="003013DE" w:rsidRDefault="003013DE" w:rsidP="003013DE">
      <w:pPr>
        <w:rPr>
          <w:lang w:val="es-ES"/>
        </w:rPr>
      </w:pPr>
    </w:p>
    <w:p w14:paraId="068609FA" w14:textId="5F395D3D" w:rsidR="003013DE" w:rsidRPr="003013DE" w:rsidRDefault="003013DE" w:rsidP="003013DE">
      <w:pPr>
        <w:rPr>
          <w:lang w:val="es-ES"/>
        </w:rPr>
      </w:pPr>
    </w:p>
    <w:p w14:paraId="36BAC773" w14:textId="36825BE6" w:rsidR="003013DE" w:rsidRPr="003013DE" w:rsidRDefault="003013DE" w:rsidP="003013DE">
      <w:pPr>
        <w:rPr>
          <w:lang w:val="es-ES"/>
        </w:rPr>
      </w:pPr>
    </w:p>
    <w:p w14:paraId="420C4738" w14:textId="6C14FFD0" w:rsidR="003013DE" w:rsidRPr="003013DE" w:rsidRDefault="003013DE" w:rsidP="003013DE">
      <w:pPr>
        <w:rPr>
          <w:lang w:val="es-ES"/>
        </w:rPr>
      </w:pPr>
    </w:p>
    <w:p w14:paraId="7CA6D1E9" w14:textId="26CFC185" w:rsidR="003013DE" w:rsidRPr="003013DE" w:rsidRDefault="003013DE" w:rsidP="003013DE">
      <w:pPr>
        <w:rPr>
          <w:lang w:val="es-ES"/>
        </w:rPr>
      </w:pPr>
    </w:p>
    <w:p w14:paraId="0B3FD81F" w14:textId="2B52D7B5" w:rsidR="003013DE" w:rsidRPr="003013DE" w:rsidRDefault="003013DE" w:rsidP="003013DE">
      <w:pPr>
        <w:rPr>
          <w:lang w:val="es-ES"/>
        </w:rPr>
      </w:pPr>
    </w:p>
    <w:p w14:paraId="242A084F" w14:textId="7B8D7219" w:rsidR="003013DE" w:rsidRPr="003013DE" w:rsidRDefault="003013DE" w:rsidP="003013DE">
      <w:pPr>
        <w:rPr>
          <w:lang w:val="es-ES"/>
        </w:rPr>
      </w:pPr>
    </w:p>
    <w:p w14:paraId="7C5F1A25" w14:textId="677B0163" w:rsidR="003013DE" w:rsidRPr="003013DE" w:rsidRDefault="003013DE" w:rsidP="003013DE">
      <w:pPr>
        <w:rPr>
          <w:lang w:val="es-ES"/>
        </w:rPr>
      </w:pPr>
    </w:p>
    <w:p w14:paraId="74F12E38" w14:textId="638712D4" w:rsidR="003013DE" w:rsidRPr="003013DE" w:rsidRDefault="003013DE" w:rsidP="003013DE">
      <w:pPr>
        <w:rPr>
          <w:lang w:val="es-ES"/>
        </w:rPr>
      </w:pPr>
    </w:p>
    <w:p w14:paraId="4FEA2BDA" w14:textId="65A1260E" w:rsidR="003013DE" w:rsidRPr="003013DE" w:rsidRDefault="003013DE" w:rsidP="003013DE">
      <w:pPr>
        <w:rPr>
          <w:lang w:val="es-ES"/>
        </w:rPr>
      </w:pPr>
    </w:p>
    <w:p w14:paraId="61AB7B3D" w14:textId="75B37B24" w:rsidR="00E74F8A" w:rsidRPr="003013DE" w:rsidRDefault="00E74F8A" w:rsidP="003013DE">
      <w:pPr>
        <w:pStyle w:val="Ttulo1"/>
        <w:rPr>
          <w:rFonts w:cs="Times New Roman"/>
          <w:b w:val="0"/>
          <w:bCs/>
          <w:color w:val="auto"/>
          <w:szCs w:val="24"/>
          <w:lang w:val="es-ES"/>
        </w:rPr>
      </w:pPr>
      <w:bookmarkStart w:id="5" w:name="_Toc223177108"/>
      <w:r w:rsidRPr="003013DE">
        <w:rPr>
          <w:rFonts w:cs="Times New Roman"/>
          <w:bCs/>
          <w:color w:val="auto"/>
          <w:szCs w:val="24"/>
          <w:lang w:val="es-ES"/>
        </w:rPr>
        <w:lastRenderedPageBreak/>
        <w:t>VI. Lista de figuras</w:t>
      </w:r>
      <w:bookmarkEnd w:id="5"/>
    </w:p>
    <w:p w14:paraId="45BD58D3" w14:textId="77777777" w:rsidR="00E74F8A" w:rsidRPr="003013DE" w:rsidRDefault="00E74F8A" w:rsidP="00D5047C">
      <w:pPr>
        <w:rPr>
          <w:rFonts w:ascii="Times New Roman" w:hAnsi="Times New Roman" w:cs="Times New Roman"/>
          <w:sz w:val="24"/>
          <w:szCs w:val="24"/>
          <w:lang w:val="es-ES"/>
        </w:rPr>
      </w:pPr>
    </w:p>
    <w:p w14:paraId="085B86E5" w14:textId="064CE5D5" w:rsidR="00F35382" w:rsidRPr="00F35382" w:rsidRDefault="003013DE">
      <w:pPr>
        <w:pStyle w:val="Tabladeilustraciones"/>
        <w:tabs>
          <w:tab w:val="right" w:leader="dot" w:pos="8828"/>
        </w:tabs>
        <w:rPr>
          <w:rFonts w:ascii="Times New Roman" w:eastAsiaTheme="minorEastAsia" w:hAnsi="Times New Roman" w:cs="Times New Roman"/>
          <w:noProof/>
          <w:sz w:val="24"/>
          <w:szCs w:val="24"/>
          <w:lang w:eastAsia="es-CR"/>
        </w:rPr>
      </w:pPr>
      <w:r w:rsidRPr="00F35382">
        <w:rPr>
          <w:rFonts w:ascii="Times New Roman" w:hAnsi="Times New Roman" w:cs="Times New Roman"/>
          <w:sz w:val="24"/>
          <w:szCs w:val="24"/>
          <w:lang w:val="es-ES"/>
        </w:rPr>
        <w:fldChar w:fldCharType="begin"/>
      </w:r>
      <w:r w:rsidRPr="00F35382">
        <w:rPr>
          <w:rFonts w:ascii="Times New Roman" w:hAnsi="Times New Roman" w:cs="Times New Roman"/>
          <w:sz w:val="24"/>
          <w:szCs w:val="24"/>
          <w:lang w:val="es-ES"/>
        </w:rPr>
        <w:instrText xml:space="preserve"> TOC \h \z \c "Figura" </w:instrText>
      </w:r>
      <w:r w:rsidRPr="00F35382">
        <w:rPr>
          <w:rFonts w:ascii="Times New Roman" w:hAnsi="Times New Roman" w:cs="Times New Roman"/>
          <w:sz w:val="24"/>
          <w:szCs w:val="24"/>
          <w:lang w:val="es-ES"/>
        </w:rPr>
        <w:fldChar w:fldCharType="separate"/>
      </w:r>
      <w:hyperlink w:anchor="_Toc223177503" w:history="1">
        <w:r w:rsidR="00F35382" w:rsidRPr="00F35382">
          <w:rPr>
            <w:rStyle w:val="Hipervnculo"/>
            <w:rFonts w:ascii="Times New Roman" w:hAnsi="Times New Roman" w:cs="Times New Roman"/>
            <w:noProof/>
            <w:sz w:val="24"/>
            <w:szCs w:val="24"/>
          </w:rPr>
          <w:t>Figura 1  Eje microbiota-intestino-cerebro general, vías de comunicación, incluyendo neurotransmisores microbianos como parte de la señalización.</w:t>
        </w:r>
        <w:r w:rsidR="00F35382" w:rsidRPr="00F35382">
          <w:rPr>
            <w:rFonts w:ascii="Times New Roman" w:hAnsi="Times New Roman" w:cs="Times New Roman"/>
            <w:noProof/>
            <w:webHidden/>
            <w:sz w:val="24"/>
            <w:szCs w:val="24"/>
          </w:rPr>
          <w:tab/>
        </w:r>
        <w:r w:rsidR="00F35382" w:rsidRPr="00F35382">
          <w:rPr>
            <w:rFonts w:ascii="Times New Roman" w:hAnsi="Times New Roman" w:cs="Times New Roman"/>
            <w:noProof/>
            <w:webHidden/>
            <w:sz w:val="24"/>
            <w:szCs w:val="24"/>
          </w:rPr>
          <w:fldChar w:fldCharType="begin"/>
        </w:r>
        <w:r w:rsidR="00F35382" w:rsidRPr="00F35382">
          <w:rPr>
            <w:rFonts w:ascii="Times New Roman" w:hAnsi="Times New Roman" w:cs="Times New Roman"/>
            <w:noProof/>
            <w:webHidden/>
            <w:sz w:val="24"/>
            <w:szCs w:val="24"/>
          </w:rPr>
          <w:instrText xml:space="preserve"> PAGEREF _Toc223177503 \h </w:instrText>
        </w:r>
        <w:r w:rsidR="00F35382" w:rsidRPr="00F35382">
          <w:rPr>
            <w:rFonts w:ascii="Times New Roman" w:hAnsi="Times New Roman" w:cs="Times New Roman"/>
            <w:noProof/>
            <w:webHidden/>
            <w:sz w:val="24"/>
            <w:szCs w:val="24"/>
          </w:rPr>
        </w:r>
        <w:r w:rsidR="00F35382" w:rsidRPr="00F35382">
          <w:rPr>
            <w:rFonts w:ascii="Times New Roman" w:hAnsi="Times New Roman" w:cs="Times New Roman"/>
            <w:noProof/>
            <w:webHidden/>
            <w:sz w:val="24"/>
            <w:szCs w:val="24"/>
          </w:rPr>
          <w:fldChar w:fldCharType="separate"/>
        </w:r>
        <w:r w:rsidR="00F35382" w:rsidRPr="00F35382">
          <w:rPr>
            <w:rFonts w:ascii="Times New Roman" w:hAnsi="Times New Roman" w:cs="Times New Roman"/>
            <w:noProof/>
            <w:webHidden/>
            <w:sz w:val="24"/>
            <w:szCs w:val="24"/>
          </w:rPr>
          <w:t>42</w:t>
        </w:r>
        <w:r w:rsidR="00F35382" w:rsidRPr="00F35382">
          <w:rPr>
            <w:rFonts w:ascii="Times New Roman" w:hAnsi="Times New Roman" w:cs="Times New Roman"/>
            <w:noProof/>
            <w:webHidden/>
            <w:sz w:val="24"/>
            <w:szCs w:val="24"/>
          </w:rPr>
          <w:fldChar w:fldCharType="end"/>
        </w:r>
      </w:hyperlink>
    </w:p>
    <w:p w14:paraId="3A52A7BA" w14:textId="0B268EAB" w:rsidR="00F35382" w:rsidRPr="00F35382" w:rsidRDefault="00F35382">
      <w:pPr>
        <w:pStyle w:val="Tabladeilustraciones"/>
        <w:tabs>
          <w:tab w:val="right" w:leader="dot" w:pos="8828"/>
        </w:tabs>
        <w:rPr>
          <w:rFonts w:ascii="Times New Roman" w:eastAsiaTheme="minorEastAsia" w:hAnsi="Times New Roman" w:cs="Times New Roman"/>
          <w:noProof/>
          <w:sz w:val="24"/>
          <w:szCs w:val="24"/>
          <w:lang w:eastAsia="es-CR"/>
        </w:rPr>
      </w:pPr>
      <w:hyperlink w:anchor="_Toc223177504" w:history="1">
        <w:r w:rsidRPr="00F35382">
          <w:rPr>
            <w:rStyle w:val="Hipervnculo"/>
            <w:rFonts w:ascii="Times New Roman" w:hAnsi="Times New Roman" w:cs="Times New Roman"/>
            <w:noProof/>
            <w:sz w:val="24"/>
            <w:szCs w:val="24"/>
          </w:rPr>
          <w:t xml:space="preserve">Figura 2. </w:t>
        </w:r>
        <w:r w:rsidRPr="00F35382">
          <w:rPr>
            <w:rStyle w:val="Hipervnculo"/>
            <w:rFonts w:ascii="Times New Roman" w:eastAsia="Times New Roman" w:hAnsi="Times New Roman" w:cs="Times New Roman"/>
            <w:noProof/>
            <w:sz w:val="24"/>
            <w:szCs w:val="24"/>
          </w:rPr>
          <w:t>Representación esquemática de la influencia de la microbiota y sus metabolitos sobre la función barrera del intestino y el sistema inmunitario.</w:t>
        </w:r>
        <w:r w:rsidRPr="00F35382">
          <w:rPr>
            <w:rFonts w:ascii="Times New Roman" w:hAnsi="Times New Roman" w:cs="Times New Roman"/>
            <w:noProof/>
            <w:webHidden/>
            <w:sz w:val="24"/>
            <w:szCs w:val="24"/>
          </w:rPr>
          <w:tab/>
        </w:r>
        <w:r w:rsidRPr="00F35382">
          <w:rPr>
            <w:rFonts w:ascii="Times New Roman" w:hAnsi="Times New Roman" w:cs="Times New Roman"/>
            <w:noProof/>
            <w:webHidden/>
            <w:sz w:val="24"/>
            <w:szCs w:val="24"/>
          </w:rPr>
          <w:fldChar w:fldCharType="begin"/>
        </w:r>
        <w:r w:rsidRPr="00F35382">
          <w:rPr>
            <w:rFonts w:ascii="Times New Roman" w:hAnsi="Times New Roman" w:cs="Times New Roman"/>
            <w:noProof/>
            <w:webHidden/>
            <w:sz w:val="24"/>
            <w:szCs w:val="24"/>
          </w:rPr>
          <w:instrText xml:space="preserve"> PAGEREF _Toc223177504 \h </w:instrText>
        </w:r>
        <w:r w:rsidRPr="00F35382">
          <w:rPr>
            <w:rFonts w:ascii="Times New Roman" w:hAnsi="Times New Roman" w:cs="Times New Roman"/>
            <w:noProof/>
            <w:webHidden/>
            <w:sz w:val="24"/>
            <w:szCs w:val="24"/>
          </w:rPr>
        </w:r>
        <w:r w:rsidRPr="00F35382">
          <w:rPr>
            <w:rFonts w:ascii="Times New Roman" w:hAnsi="Times New Roman" w:cs="Times New Roman"/>
            <w:noProof/>
            <w:webHidden/>
            <w:sz w:val="24"/>
            <w:szCs w:val="24"/>
          </w:rPr>
          <w:fldChar w:fldCharType="separate"/>
        </w:r>
        <w:r w:rsidRPr="00F35382">
          <w:rPr>
            <w:rFonts w:ascii="Times New Roman" w:hAnsi="Times New Roman" w:cs="Times New Roman"/>
            <w:noProof/>
            <w:webHidden/>
            <w:sz w:val="24"/>
            <w:szCs w:val="24"/>
          </w:rPr>
          <w:t>52</w:t>
        </w:r>
        <w:r w:rsidRPr="00F35382">
          <w:rPr>
            <w:rFonts w:ascii="Times New Roman" w:hAnsi="Times New Roman" w:cs="Times New Roman"/>
            <w:noProof/>
            <w:webHidden/>
            <w:sz w:val="24"/>
            <w:szCs w:val="24"/>
          </w:rPr>
          <w:fldChar w:fldCharType="end"/>
        </w:r>
      </w:hyperlink>
    </w:p>
    <w:p w14:paraId="0FF96EAE" w14:textId="2492D966" w:rsidR="00F35382" w:rsidRPr="00F35382" w:rsidRDefault="00F35382">
      <w:pPr>
        <w:pStyle w:val="Tabladeilustraciones"/>
        <w:tabs>
          <w:tab w:val="right" w:leader="dot" w:pos="8828"/>
        </w:tabs>
        <w:rPr>
          <w:rFonts w:ascii="Times New Roman" w:eastAsiaTheme="minorEastAsia" w:hAnsi="Times New Roman" w:cs="Times New Roman"/>
          <w:noProof/>
          <w:sz w:val="24"/>
          <w:szCs w:val="24"/>
          <w:lang w:eastAsia="es-CR"/>
        </w:rPr>
      </w:pPr>
      <w:hyperlink w:anchor="_Toc223177505" w:history="1">
        <w:r w:rsidRPr="00F35382">
          <w:rPr>
            <w:rStyle w:val="Hipervnculo"/>
            <w:rFonts w:ascii="Times New Roman" w:hAnsi="Times New Roman" w:cs="Times New Roman"/>
            <w:noProof/>
            <w:sz w:val="24"/>
            <w:szCs w:val="24"/>
          </w:rPr>
          <w:t>Figura 3. Mecanismos de disfunción de la barrera intestinal y enfermedades sistémicas</w:t>
        </w:r>
        <w:r w:rsidRPr="00F35382">
          <w:rPr>
            <w:rFonts w:ascii="Times New Roman" w:hAnsi="Times New Roman" w:cs="Times New Roman"/>
            <w:noProof/>
            <w:webHidden/>
            <w:sz w:val="24"/>
            <w:szCs w:val="24"/>
          </w:rPr>
          <w:tab/>
        </w:r>
        <w:r w:rsidRPr="00F35382">
          <w:rPr>
            <w:rFonts w:ascii="Times New Roman" w:hAnsi="Times New Roman" w:cs="Times New Roman"/>
            <w:noProof/>
            <w:webHidden/>
            <w:sz w:val="24"/>
            <w:szCs w:val="24"/>
          </w:rPr>
          <w:fldChar w:fldCharType="begin"/>
        </w:r>
        <w:r w:rsidRPr="00F35382">
          <w:rPr>
            <w:rFonts w:ascii="Times New Roman" w:hAnsi="Times New Roman" w:cs="Times New Roman"/>
            <w:noProof/>
            <w:webHidden/>
            <w:sz w:val="24"/>
            <w:szCs w:val="24"/>
          </w:rPr>
          <w:instrText xml:space="preserve"> PAGEREF _Toc223177505 \h </w:instrText>
        </w:r>
        <w:r w:rsidRPr="00F35382">
          <w:rPr>
            <w:rFonts w:ascii="Times New Roman" w:hAnsi="Times New Roman" w:cs="Times New Roman"/>
            <w:noProof/>
            <w:webHidden/>
            <w:sz w:val="24"/>
            <w:szCs w:val="24"/>
          </w:rPr>
        </w:r>
        <w:r w:rsidRPr="00F35382">
          <w:rPr>
            <w:rFonts w:ascii="Times New Roman" w:hAnsi="Times New Roman" w:cs="Times New Roman"/>
            <w:noProof/>
            <w:webHidden/>
            <w:sz w:val="24"/>
            <w:szCs w:val="24"/>
          </w:rPr>
          <w:fldChar w:fldCharType="separate"/>
        </w:r>
        <w:r w:rsidRPr="00F35382">
          <w:rPr>
            <w:rFonts w:ascii="Times New Roman" w:hAnsi="Times New Roman" w:cs="Times New Roman"/>
            <w:noProof/>
            <w:webHidden/>
            <w:sz w:val="24"/>
            <w:szCs w:val="24"/>
          </w:rPr>
          <w:t>64</w:t>
        </w:r>
        <w:r w:rsidRPr="00F35382">
          <w:rPr>
            <w:rFonts w:ascii="Times New Roman" w:hAnsi="Times New Roman" w:cs="Times New Roman"/>
            <w:noProof/>
            <w:webHidden/>
            <w:sz w:val="24"/>
            <w:szCs w:val="24"/>
          </w:rPr>
          <w:fldChar w:fldCharType="end"/>
        </w:r>
      </w:hyperlink>
    </w:p>
    <w:p w14:paraId="48AAD895" w14:textId="6F17B019" w:rsidR="00E74F8A" w:rsidRPr="00F35382" w:rsidRDefault="003013DE" w:rsidP="00D5047C">
      <w:pPr>
        <w:rPr>
          <w:rFonts w:ascii="Times New Roman" w:hAnsi="Times New Roman" w:cs="Times New Roman"/>
          <w:b/>
          <w:bCs/>
          <w:sz w:val="24"/>
          <w:szCs w:val="24"/>
          <w:lang w:val="es-ES"/>
        </w:rPr>
      </w:pPr>
      <w:r w:rsidRPr="00F35382">
        <w:rPr>
          <w:rFonts w:ascii="Times New Roman" w:hAnsi="Times New Roman" w:cs="Times New Roman"/>
          <w:sz w:val="24"/>
          <w:szCs w:val="24"/>
          <w:lang w:val="es-ES"/>
        </w:rPr>
        <w:fldChar w:fldCharType="end"/>
      </w:r>
    </w:p>
    <w:p w14:paraId="070F2F19" w14:textId="77777777" w:rsidR="00E74F8A" w:rsidRPr="003013DE" w:rsidRDefault="00E74F8A" w:rsidP="00D5047C">
      <w:pPr>
        <w:rPr>
          <w:rFonts w:ascii="Times New Roman" w:hAnsi="Times New Roman" w:cs="Times New Roman"/>
          <w:b/>
          <w:bCs/>
          <w:sz w:val="24"/>
          <w:szCs w:val="24"/>
          <w:lang w:val="es-ES"/>
        </w:rPr>
      </w:pPr>
    </w:p>
    <w:p w14:paraId="323395CC" w14:textId="77777777" w:rsidR="00E74F8A" w:rsidRPr="003013DE" w:rsidRDefault="00E74F8A" w:rsidP="00D5047C">
      <w:pPr>
        <w:rPr>
          <w:rFonts w:ascii="Times New Roman" w:hAnsi="Times New Roman" w:cs="Times New Roman"/>
          <w:b/>
          <w:bCs/>
          <w:sz w:val="24"/>
          <w:szCs w:val="24"/>
          <w:lang w:val="es-ES"/>
        </w:rPr>
      </w:pPr>
    </w:p>
    <w:p w14:paraId="123E0749" w14:textId="77777777" w:rsidR="00E74F8A" w:rsidRPr="003013DE" w:rsidRDefault="00E74F8A" w:rsidP="00D5047C">
      <w:pPr>
        <w:rPr>
          <w:rFonts w:ascii="Times New Roman" w:hAnsi="Times New Roman" w:cs="Times New Roman"/>
          <w:b/>
          <w:bCs/>
          <w:sz w:val="24"/>
          <w:szCs w:val="24"/>
          <w:lang w:val="es-ES"/>
        </w:rPr>
      </w:pPr>
    </w:p>
    <w:p w14:paraId="4D9A37CA" w14:textId="77777777" w:rsidR="00E74F8A" w:rsidRPr="003013DE" w:rsidRDefault="00E74F8A" w:rsidP="00D5047C">
      <w:pPr>
        <w:rPr>
          <w:rFonts w:ascii="Times New Roman" w:hAnsi="Times New Roman" w:cs="Times New Roman"/>
          <w:b/>
          <w:bCs/>
          <w:sz w:val="24"/>
          <w:szCs w:val="24"/>
          <w:lang w:val="es-ES"/>
        </w:rPr>
      </w:pPr>
    </w:p>
    <w:p w14:paraId="328848B1" w14:textId="77777777" w:rsidR="00E74F8A" w:rsidRPr="003013DE" w:rsidRDefault="00E74F8A" w:rsidP="00D5047C">
      <w:pPr>
        <w:rPr>
          <w:rFonts w:ascii="Times New Roman" w:hAnsi="Times New Roman" w:cs="Times New Roman"/>
          <w:b/>
          <w:bCs/>
          <w:sz w:val="24"/>
          <w:szCs w:val="24"/>
          <w:lang w:val="es-ES"/>
        </w:rPr>
      </w:pPr>
    </w:p>
    <w:p w14:paraId="4E8A0FA2" w14:textId="77777777" w:rsidR="00E74F8A" w:rsidRPr="003013DE" w:rsidRDefault="00E74F8A" w:rsidP="00D5047C">
      <w:pPr>
        <w:rPr>
          <w:rFonts w:ascii="Times New Roman" w:hAnsi="Times New Roman" w:cs="Times New Roman"/>
          <w:b/>
          <w:bCs/>
          <w:sz w:val="24"/>
          <w:szCs w:val="24"/>
          <w:lang w:val="es-ES"/>
        </w:rPr>
      </w:pPr>
    </w:p>
    <w:p w14:paraId="464697A8" w14:textId="77777777" w:rsidR="00E74F8A" w:rsidRPr="003013DE" w:rsidRDefault="00E74F8A" w:rsidP="00D5047C">
      <w:pPr>
        <w:rPr>
          <w:rFonts w:ascii="Times New Roman" w:hAnsi="Times New Roman" w:cs="Times New Roman"/>
          <w:b/>
          <w:bCs/>
          <w:sz w:val="24"/>
          <w:szCs w:val="24"/>
          <w:lang w:val="es-ES"/>
        </w:rPr>
      </w:pPr>
    </w:p>
    <w:p w14:paraId="12B2A3B4" w14:textId="77777777" w:rsidR="00E74F8A" w:rsidRPr="003013DE" w:rsidRDefault="00E74F8A" w:rsidP="00D5047C">
      <w:pPr>
        <w:rPr>
          <w:rFonts w:ascii="Times New Roman" w:hAnsi="Times New Roman" w:cs="Times New Roman"/>
          <w:b/>
          <w:bCs/>
          <w:sz w:val="24"/>
          <w:szCs w:val="24"/>
          <w:lang w:val="es-ES"/>
        </w:rPr>
      </w:pPr>
    </w:p>
    <w:p w14:paraId="08261F6E" w14:textId="77777777" w:rsidR="00E74F8A" w:rsidRPr="003013DE" w:rsidRDefault="00E74F8A" w:rsidP="00D5047C">
      <w:pPr>
        <w:rPr>
          <w:rFonts w:ascii="Times New Roman" w:hAnsi="Times New Roman" w:cs="Times New Roman"/>
          <w:b/>
          <w:bCs/>
          <w:sz w:val="24"/>
          <w:szCs w:val="24"/>
          <w:lang w:val="es-ES"/>
        </w:rPr>
      </w:pPr>
    </w:p>
    <w:p w14:paraId="58B1628E" w14:textId="1EAE53D2" w:rsidR="00E74F8A" w:rsidRPr="003013DE" w:rsidRDefault="00E74F8A" w:rsidP="00D5047C">
      <w:pPr>
        <w:rPr>
          <w:rFonts w:ascii="Times New Roman" w:hAnsi="Times New Roman" w:cs="Times New Roman"/>
          <w:b/>
          <w:bCs/>
          <w:sz w:val="24"/>
          <w:szCs w:val="24"/>
          <w:lang w:val="es-ES"/>
        </w:rPr>
      </w:pPr>
    </w:p>
    <w:p w14:paraId="3EE94C2F" w14:textId="77777777" w:rsidR="00E74F8A" w:rsidRPr="003013DE" w:rsidRDefault="00E74F8A" w:rsidP="00D5047C">
      <w:pPr>
        <w:rPr>
          <w:rFonts w:ascii="Times New Roman" w:hAnsi="Times New Roman" w:cs="Times New Roman"/>
          <w:b/>
          <w:bCs/>
          <w:sz w:val="24"/>
          <w:szCs w:val="24"/>
          <w:lang w:val="es-ES"/>
        </w:rPr>
      </w:pPr>
    </w:p>
    <w:p w14:paraId="394B7C8C" w14:textId="77777777" w:rsidR="00E74F8A" w:rsidRPr="003013DE" w:rsidRDefault="00E74F8A" w:rsidP="00D5047C">
      <w:pPr>
        <w:rPr>
          <w:rFonts w:ascii="Times New Roman" w:hAnsi="Times New Roman" w:cs="Times New Roman"/>
          <w:b/>
          <w:bCs/>
          <w:sz w:val="24"/>
          <w:szCs w:val="24"/>
          <w:lang w:val="es-ES"/>
        </w:rPr>
      </w:pPr>
    </w:p>
    <w:p w14:paraId="55CFDDFB" w14:textId="77777777" w:rsidR="00E74F8A" w:rsidRPr="003013DE" w:rsidRDefault="00E74F8A" w:rsidP="00D5047C">
      <w:pPr>
        <w:rPr>
          <w:rFonts w:ascii="Times New Roman" w:hAnsi="Times New Roman" w:cs="Times New Roman"/>
          <w:b/>
          <w:bCs/>
          <w:sz w:val="24"/>
          <w:szCs w:val="24"/>
          <w:lang w:val="es-ES"/>
        </w:rPr>
      </w:pPr>
    </w:p>
    <w:p w14:paraId="336A77DA" w14:textId="795E1195" w:rsidR="00E74F8A" w:rsidRDefault="00E74F8A" w:rsidP="00D5047C">
      <w:pPr>
        <w:rPr>
          <w:rFonts w:ascii="Times New Roman" w:hAnsi="Times New Roman" w:cs="Times New Roman"/>
          <w:b/>
          <w:bCs/>
          <w:sz w:val="24"/>
          <w:szCs w:val="24"/>
          <w:lang w:val="es-ES"/>
        </w:rPr>
      </w:pPr>
    </w:p>
    <w:p w14:paraId="28D58993" w14:textId="77777777" w:rsidR="003013DE" w:rsidRPr="003013DE" w:rsidRDefault="003013DE" w:rsidP="00D5047C">
      <w:pPr>
        <w:rPr>
          <w:rFonts w:ascii="Times New Roman" w:hAnsi="Times New Roman" w:cs="Times New Roman"/>
          <w:b/>
          <w:bCs/>
          <w:sz w:val="24"/>
          <w:szCs w:val="24"/>
          <w:lang w:val="es-ES"/>
        </w:rPr>
      </w:pPr>
    </w:p>
    <w:p w14:paraId="7DB6ABB7" w14:textId="77777777" w:rsidR="00E74F8A" w:rsidRPr="003013DE" w:rsidRDefault="00E74F8A" w:rsidP="00D5047C">
      <w:pPr>
        <w:rPr>
          <w:rFonts w:ascii="Times New Roman" w:hAnsi="Times New Roman" w:cs="Times New Roman"/>
          <w:b/>
          <w:bCs/>
          <w:sz w:val="24"/>
          <w:szCs w:val="24"/>
          <w:lang w:val="es-ES"/>
        </w:rPr>
      </w:pPr>
    </w:p>
    <w:p w14:paraId="1C6D22A3" w14:textId="77777777" w:rsidR="00E74F8A" w:rsidRPr="003013DE" w:rsidRDefault="00E74F8A" w:rsidP="00D5047C">
      <w:pPr>
        <w:rPr>
          <w:rFonts w:ascii="Times New Roman" w:hAnsi="Times New Roman" w:cs="Times New Roman"/>
          <w:b/>
          <w:bCs/>
          <w:sz w:val="24"/>
          <w:szCs w:val="24"/>
          <w:lang w:val="es-ES"/>
        </w:rPr>
      </w:pPr>
    </w:p>
    <w:p w14:paraId="3E4731CA" w14:textId="77777777" w:rsidR="00E74F8A" w:rsidRPr="003013DE" w:rsidRDefault="00E74F8A" w:rsidP="00D5047C">
      <w:pPr>
        <w:rPr>
          <w:rFonts w:ascii="Times New Roman" w:hAnsi="Times New Roman" w:cs="Times New Roman"/>
          <w:b/>
          <w:bCs/>
          <w:sz w:val="24"/>
          <w:szCs w:val="24"/>
          <w:lang w:val="es-ES"/>
        </w:rPr>
      </w:pPr>
    </w:p>
    <w:p w14:paraId="63D97EF9" w14:textId="77777777" w:rsidR="00E74F8A" w:rsidRPr="003013DE" w:rsidRDefault="00E74F8A" w:rsidP="00D5047C">
      <w:pPr>
        <w:rPr>
          <w:rFonts w:ascii="Times New Roman" w:hAnsi="Times New Roman" w:cs="Times New Roman"/>
          <w:b/>
          <w:bCs/>
          <w:sz w:val="24"/>
          <w:szCs w:val="24"/>
          <w:lang w:val="es-ES"/>
        </w:rPr>
      </w:pPr>
    </w:p>
    <w:p w14:paraId="33B1E79E" w14:textId="77777777" w:rsidR="00E74F8A" w:rsidRPr="003013DE" w:rsidRDefault="00E74F8A" w:rsidP="00D5047C">
      <w:pPr>
        <w:rPr>
          <w:rFonts w:ascii="Times New Roman" w:hAnsi="Times New Roman" w:cs="Times New Roman"/>
          <w:b/>
          <w:bCs/>
          <w:sz w:val="24"/>
          <w:szCs w:val="24"/>
          <w:lang w:val="es-ES"/>
        </w:rPr>
      </w:pPr>
    </w:p>
    <w:p w14:paraId="6B06665F" w14:textId="77777777" w:rsidR="00E74F8A" w:rsidRPr="003013DE" w:rsidRDefault="00E74F8A" w:rsidP="00D5047C">
      <w:pPr>
        <w:rPr>
          <w:rFonts w:ascii="Times New Roman" w:hAnsi="Times New Roman" w:cs="Times New Roman"/>
          <w:b/>
          <w:bCs/>
          <w:sz w:val="24"/>
          <w:szCs w:val="24"/>
          <w:lang w:val="es-ES"/>
        </w:rPr>
      </w:pPr>
    </w:p>
    <w:p w14:paraId="56582D8B" w14:textId="77777777" w:rsidR="00E74F8A" w:rsidRPr="003013DE" w:rsidRDefault="00E74F8A" w:rsidP="00D5047C">
      <w:pPr>
        <w:rPr>
          <w:rFonts w:ascii="Times New Roman" w:hAnsi="Times New Roman" w:cs="Times New Roman"/>
          <w:b/>
          <w:bCs/>
          <w:sz w:val="24"/>
          <w:szCs w:val="24"/>
          <w:lang w:val="es-ES"/>
        </w:rPr>
      </w:pPr>
    </w:p>
    <w:p w14:paraId="1EBCC85A" w14:textId="1FF5CC78" w:rsidR="00E74F8A" w:rsidRPr="003013DE" w:rsidRDefault="00E74F8A" w:rsidP="00D5047C">
      <w:pPr>
        <w:rPr>
          <w:rFonts w:ascii="Times New Roman" w:hAnsi="Times New Roman" w:cs="Times New Roman"/>
          <w:b/>
          <w:bCs/>
          <w:sz w:val="24"/>
          <w:szCs w:val="24"/>
          <w:lang w:val="es-ES"/>
        </w:rPr>
      </w:pPr>
      <w:r w:rsidRPr="003013DE">
        <w:rPr>
          <w:rFonts w:ascii="Times New Roman" w:hAnsi="Times New Roman" w:cs="Times New Roman"/>
          <w:b/>
          <w:bCs/>
          <w:sz w:val="24"/>
          <w:szCs w:val="24"/>
          <w:lang w:val="es-ES"/>
        </w:rPr>
        <w:lastRenderedPageBreak/>
        <w:cr/>
        <w:t>VIII. Lista de abreviaturas</w:t>
      </w:r>
    </w:p>
    <w:p w14:paraId="6CF9B5C0"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AGCC</w:t>
      </w:r>
      <w:r w:rsidRPr="007269CC">
        <w:rPr>
          <w:rStyle w:val="s1"/>
          <w:rFonts w:ascii="Times New Roman" w:hAnsi="Times New Roman" w:cs="Times New Roman"/>
          <w:sz w:val="24"/>
          <w:szCs w:val="24"/>
        </w:rPr>
        <w:t xml:space="preserve"> – Ácidos grasos de cadena corta</w:t>
      </w:r>
    </w:p>
    <w:p w14:paraId="42BE67A2"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ALS</w:t>
      </w:r>
      <w:r w:rsidRPr="007269CC">
        <w:rPr>
          <w:rStyle w:val="s1"/>
          <w:rFonts w:ascii="Times New Roman" w:hAnsi="Times New Roman" w:cs="Times New Roman"/>
          <w:sz w:val="24"/>
          <w:szCs w:val="24"/>
        </w:rPr>
        <w:t xml:space="preserve"> – Esclerosis lateral amiotrófica (Amyotrophic Lateral Sclerosis)</w:t>
      </w:r>
    </w:p>
    <w:p w14:paraId="1D9A8673"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BBB</w:t>
      </w:r>
      <w:r w:rsidRPr="007269CC">
        <w:rPr>
          <w:rStyle w:val="s1"/>
          <w:rFonts w:ascii="Times New Roman" w:hAnsi="Times New Roman" w:cs="Times New Roman"/>
          <w:sz w:val="24"/>
          <w:szCs w:val="24"/>
        </w:rPr>
        <w:t xml:space="preserve"> – Barrera hematoencefálica (Blood–Brain Barrier)</w:t>
      </w:r>
    </w:p>
    <w:p w14:paraId="4C24A006"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BDNF</w:t>
      </w:r>
      <w:r w:rsidRPr="007269CC">
        <w:rPr>
          <w:rStyle w:val="s1"/>
          <w:rFonts w:ascii="Times New Roman" w:hAnsi="Times New Roman" w:cs="Times New Roman"/>
          <w:sz w:val="24"/>
          <w:szCs w:val="24"/>
        </w:rPr>
        <w:t xml:space="preserve"> – Factor neurotrófico derivado del cerebro (Brain-Derived Neurotrophic Factor)</w:t>
      </w:r>
    </w:p>
    <w:p w14:paraId="341BF380"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EA</w:t>
      </w:r>
      <w:r w:rsidRPr="007269CC">
        <w:rPr>
          <w:rStyle w:val="s1"/>
          <w:rFonts w:ascii="Times New Roman" w:hAnsi="Times New Roman" w:cs="Times New Roman"/>
          <w:sz w:val="24"/>
          <w:szCs w:val="24"/>
        </w:rPr>
        <w:t xml:space="preserve"> – Enfermedad de Alzheimer</w:t>
      </w:r>
    </w:p>
    <w:p w14:paraId="2F594FDD"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ECCA</w:t>
      </w:r>
      <w:r w:rsidRPr="007269CC">
        <w:rPr>
          <w:rStyle w:val="s1"/>
          <w:rFonts w:ascii="Times New Roman" w:hAnsi="Times New Roman" w:cs="Times New Roman"/>
          <w:sz w:val="24"/>
          <w:szCs w:val="24"/>
        </w:rPr>
        <w:t xml:space="preserve"> – Ensayo clínico controlado aleatorizado</w:t>
      </w:r>
    </w:p>
    <w:p w14:paraId="1059AD60"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EM</w:t>
      </w:r>
      <w:r w:rsidRPr="007269CC">
        <w:rPr>
          <w:rStyle w:val="s1"/>
          <w:rFonts w:ascii="Times New Roman" w:hAnsi="Times New Roman" w:cs="Times New Roman"/>
          <w:sz w:val="24"/>
          <w:szCs w:val="24"/>
        </w:rPr>
        <w:t xml:space="preserve"> – Esclerosis múltiple</w:t>
      </w:r>
    </w:p>
    <w:p w14:paraId="5B5CF86A"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EP</w:t>
      </w:r>
      <w:r w:rsidRPr="007269CC">
        <w:rPr>
          <w:rStyle w:val="s1"/>
          <w:rFonts w:ascii="Times New Roman" w:hAnsi="Times New Roman" w:cs="Times New Roman"/>
          <w:sz w:val="24"/>
          <w:szCs w:val="24"/>
        </w:rPr>
        <w:t xml:space="preserve"> – Enfermedad de Parkinson</w:t>
      </w:r>
    </w:p>
    <w:p w14:paraId="18B2F1B9"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FMT</w:t>
      </w:r>
      <w:r w:rsidRPr="007269CC">
        <w:rPr>
          <w:rStyle w:val="s1"/>
          <w:rFonts w:ascii="Times New Roman" w:hAnsi="Times New Roman" w:cs="Times New Roman"/>
          <w:sz w:val="24"/>
          <w:szCs w:val="24"/>
        </w:rPr>
        <w:t xml:space="preserve"> – Trasplante de microbiota fecal (Fecal Microbiota Transplantation)</w:t>
      </w:r>
    </w:p>
    <w:p w14:paraId="23EFF94F"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GABA</w:t>
      </w:r>
      <w:r w:rsidRPr="007269CC">
        <w:rPr>
          <w:rStyle w:val="s1"/>
          <w:rFonts w:ascii="Times New Roman" w:hAnsi="Times New Roman" w:cs="Times New Roman"/>
          <w:sz w:val="24"/>
          <w:szCs w:val="24"/>
        </w:rPr>
        <w:t xml:space="preserve"> – Ácido gamma-aminobutírico</w:t>
      </w:r>
    </w:p>
    <w:p w14:paraId="483C20E4"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GALT</w:t>
      </w:r>
      <w:r w:rsidRPr="007269CC">
        <w:rPr>
          <w:rStyle w:val="s1"/>
          <w:rFonts w:ascii="Times New Roman" w:hAnsi="Times New Roman" w:cs="Times New Roman"/>
          <w:sz w:val="24"/>
          <w:szCs w:val="24"/>
        </w:rPr>
        <w:t xml:space="preserve"> – Tejido linfoide asociado al intestino (Gut-Associated Lymphoid Tissue)</w:t>
      </w:r>
    </w:p>
    <w:p w14:paraId="45C6B8D3"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GPR41 / GPR43</w:t>
      </w:r>
      <w:r w:rsidRPr="007269CC">
        <w:rPr>
          <w:rStyle w:val="s1"/>
          <w:rFonts w:ascii="Times New Roman" w:hAnsi="Times New Roman" w:cs="Times New Roman"/>
          <w:sz w:val="24"/>
          <w:szCs w:val="24"/>
        </w:rPr>
        <w:t xml:space="preserve"> – Receptores acoplados a proteína G 41 y 43</w:t>
      </w:r>
    </w:p>
    <w:p w14:paraId="73AD4300"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HDAC</w:t>
      </w:r>
      <w:r w:rsidRPr="007269CC">
        <w:rPr>
          <w:rStyle w:val="s1"/>
          <w:rFonts w:ascii="Times New Roman" w:hAnsi="Times New Roman" w:cs="Times New Roman"/>
          <w:sz w:val="24"/>
          <w:szCs w:val="24"/>
        </w:rPr>
        <w:t xml:space="preserve"> – Histona desacetilasa</w:t>
      </w:r>
    </w:p>
    <w:p w14:paraId="58F05AB9"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HHA</w:t>
      </w:r>
      <w:r w:rsidRPr="007269CC">
        <w:rPr>
          <w:rStyle w:val="s1"/>
          <w:rFonts w:ascii="Times New Roman" w:hAnsi="Times New Roman" w:cs="Times New Roman"/>
          <w:sz w:val="24"/>
          <w:szCs w:val="24"/>
        </w:rPr>
        <w:t xml:space="preserve"> – Eje hipotálamo–hipófisis–adrenal</w:t>
      </w:r>
    </w:p>
    <w:p w14:paraId="17D5517D"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HR</w:t>
      </w:r>
      <w:r w:rsidRPr="007269CC">
        <w:rPr>
          <w:rStyle w:val="s1"/>
          <w:rFonts w:ascii="Times New Roman" w:hAnsi="Times New Roman" w:cs="Times New Roman"/>
          <w:sz w:val="24"/>
          <w:szCs w:val="24"/>
        </w:rPr>
        <w:t xml:space="preserve"> – Hazard Ratio</w:t>
      </w:r>
    </w:p>
    <w:p w14:paraId="6DA3D990"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IL</w:t>
      </w:r>
      <w:r w:rsidRPr="007269CC">
        <w:rPr>
          <w:rStyle w:val="s1"/>
          <w:rFonts w:ascii="Times New Roman" w:hAnsi="Times New Roman" w:cs="Times New Roman"/>
          <w:sz w:val="24"/>
          <w:szCs w:val="24"/>
        </w:rPr>
        <w:t xml:space="preserve"> – Interleucina</w:t>
      </w:r>
    </w:p>
    <w:p w14:paraId="41DE4925"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IL-1β</w:t>
      </w:r>
      <w:r w:rsidRPr="007269CC">
        <w:rPr>
          <w:rStyle w:val="s1"/>
          <w:rFonts w:ascii="Times New Roman" w:hAnsi="Times New Roman" w:cs="Times New Roman"/>
          <w:sz w:val="24"/>
          <w:szCs w:val="24"/>
        </w:rPr>
        <w:t xml:space="preserve"> – Interleucina 1 beta</w:t>
      </w:r>
    </w:p>
    <w:p w14:paraId="07A8F693"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IL-6</w:t>
      </w:r>
      <w:r w:rsidRPr="007269CC">
        <w:rPr>
          <w:rStyle w:val="s1"/>
          <w:rFonts w:ascii="Times New Roman" w:hAnsi="Times New Roman" w:cs="Times New Roman"/>
          <w:sz w:val="24"/>
          <w:szCs w:val="24"/>
        </w:rPr>
        <w:t xml:space="preserve"> – Interleucina 6</w:t>
      </w:r>
    </w:p>
    <w:p w14:paraId="7808089E"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IL-10</w:t>
      </w:r>
      <w:r w:rsidRPr="007269CC">
        <w:rPr>
          <w:rStyle w:val="s1"/>
          <w:rFonts w:ascii="Times New Roman" w:hAnsi="Times New Roman" w:cs="Times New Roman"/>
          <w:sz w:val="24"/>
          <w:szCs w:val="24"/>
        </w:rPr>
        <w:t xml:space="preserve"> – Interleucina 10</w:t>
      </w:r>
    </w:p>
    <w:p w14:paraId="673F7D79"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LPS</w:t>
      </w:r>
      <w:r w:rsidRPr="007269CC">
        <w:rPr>
          <w:rStyle w:val="s1"/>
          <w:rFonts w:ascii="Times New Roman" w:hAnsi="Times New Roman" w:cs="Times New Roman"/>
          <w:sz w:val="24"/>
          <w:szCs w:val="24"/>
        </w:rPr>
        <w:t xml:space="preserve"> – Lipopolisacárido</w:t>
      </w:r>
    </w:p>
    <w:p w14:paraId="09BD7057"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MDPI</w:t>
      </w:r>
      <w:r w:rsidRPr="007269CC">
        <w:rPr>
          <w:rStyle w:val="s1"/>
          <w:rFonts w:ascii="Times New Roman" w:hAnsi="Times New Roman" w:cs="Times New Roman"/>
          <w:sz w:val="24"/>
          <w:szCs w:val="24"/>
        </w:rPr>
        <w:t xml:space="preserve"> – Multidisciplinary Digital Publishing Institute</w:t>
      </w:r>
    </w:p>
    <w:p w14:paraId="438B63DD"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MS</w:t>
      </w:r>
      <w:r w:rsidRPr="007269CC">
        <w:rPr>
          <w:rStyle w:val="s1"/>
          <w:rFonts w:ascii="Times New Roman" w:hAnsi="Times New Roman" w:cs="Times New Roman"/>
          <w:sz w:val="24"/>
          <w:szCs w:val="24"/>
        </w:rPr>
        <w:t xml:space="preserve"> – Multiple Sclerosis</w:t>
      </w:r>
    </w:p>
    <w:p w14:paraId="55830035"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OMS</w:t>
      </w:r>
      <w:r w:rsidRPr="007269CC">
        <w:rPr>
          <w:rStyle w:val="s1"/>
          <w:rFonts w:ascii="Times New Roman" w:hAnsi="Times New Roman" w:cs="Times New Roman"/>
          <w:sz w:val="24"/>
          <w:szCs w:val="24"/>
        </w:rPr>
        <w:t xml:space="preserve"> – Organización Mundial de la Salud</w:t>
      </w:r>
    </w:p>
    <w:p w14:paraId="1DABD2D0"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OPS</w:t>
      </w:r>
      <w:r w:rsidRPr="007269CC">
        <w:rPr>
          <w:rStyle w:val="s1"/>
          <w:rFonts w:ascii="Times New Roman" w:hAnsi="Times New Roman" w:cs="Times New Roman"/>
          <w:sz w:val="24"/>
          <w:szCs w:val="24"/>
        </w:rPr>
        <w:t xml:space="preserve"> – Organización Panamericana de la Salud</w:t>
      </w:r>
    </w:p>
    <w:p w14:paraId="63C33C11" w14:textId="77777777" w:rsidR="00C84675" w:rsidRPr="007269CC" w:rsidRDefault="00C84675">
      <w:pPr>
        <w:rPr>
          <w:rFonts w:ascii="Times New Roman" w:hAnsi="Times New Roman" w:cs="Times New Roman"/>
          <w:sz w:val="24"/>
          <w:szCs w:val="24"/>
          <w:lang w:val="en-US"/>
        </w:rPr>
      </w:pPr>
      <w:r w:rsidRPr="007269CC">
        <w:rPr>
          <w:rFonts w:ascii="Times New Roman" w:hAnsi="Times New Roman" w:cs="Times New Roman"/>
          <w:sz w:val="24"/>
          <w:szCs w:val="24"/>
          <w:lang w:val="en-US"/>
        </w:rPr>
        <w:t>PD</w:t>
      </w:r>
      <w:r w:rsidRPr="007269CC">
        <w:rPr>
          <w:rStyle w:val="s1"/>
          <w:rFonts w:ascii="Times New Roman" w:hAnsi="Times New Roman" w:cs="Times New Roman"/>
          <w:sz w:val="24"/>
          <w:szCs w:val="24"/>
          <w:lang w:val="en-US"/>
        </w:rPr>
        <w:t xml:space="preserve"> – Parkinson’s Disease</w:t>
      </w:r>
    </w:p>
    <w:p w14:paraId="53E45574" w14:textId="77777777" w:rsidR="00C84675" w:rsidRPr="007269CC" w:rsidRDefault="00C84675">
      <w:pPr>
        <w:rPr>
          <w:rFonts w:ascii="Times New Roman" w:hAnsi="Times New Roman" w:cs="Times New Roman"/>
          <w:sz w:val="24"/>
          <w:szCs w:val="24"/>
          <w:lang w:val="en-US"/>
        </w:rPr>
      </w:pPr>
      <w:r w:rsidRPr="007269CC">
        <w:rPr>
          <w:rFonts w:ascii="Times New Roman" w:hAnsi="Times New Roman" w:cs="Times New Roman"/>
          <w:sz w:val="24"/>
          <w:szCs w:val="24"/>
          <w:lang w:val="en-US"/>
        </w:rPr>
        <w:t>PRISMA</w:t>
      </w:r>
      <w:r w:rsidRPr="007269CC">
        <w:rPr>
          <w:rStyle w:val="s1"/>
          <w:rFonts w:ascii="Times New Roman" w:hAnsi="Times New Roman" w:cs="Times New Roman"/>
          <w:sz w:val="24"/>
          <w:szCs w:val="24"/>
          <w:lang w:val="en-US"/>
        </w:rPr>
        <w:t xml:space="preserve"> – Preferred Reporting Items for Systematic Reviews and Meta-Analyses</w:t>
      </w:r>
    </w:p>
    <w:p w14:paraId="79AF37F3" w14:textId="77777777" w:rsidR="00C84675" w:rsidRPr="007269CC" w:rsidRDefault="00C84675">
      <w:pPr>
        <w:rPr>
          <w:rFonts w:ascii="Times New Roman" w:hAnsi="Times New Roman" w:cs="Times New Roman"/>
          <w:sz w:val="24"/>
          <w:szCs w:val="24"/>
          <w:lang w:val="en-US"/>
        </w:rPr>
      </w:pPr>
      <w:r w:rsidRPr="007269CC">
        <w:rPr>
          <w:rFonts w:ascii="Times New Roman" w:hAnsi="Times New Roman" w:cs="Times New Roman"/>
          <w:sz w:val="24"/>
          <w:szCs w:val="24"/>
          <w:lang w:val="en-US"/>
        </w:rPr>
        <w:t>RR</w:t>
      </w:r>
      <w:r w:rsidRPr="007269CC">
        <w:rPr>
          <w:rStyle w:val="s1"/>
          <w:rFonts w:ascii="Times New Roman" w:hAnsi="Times New Roman" w:cs="Times New Roman"/>
          <w:sz w:val="24"/>
          <w:szCs w:val="24"/>
          <w:lang w:val="en-US"/>
        </w:rPr>
        <w:t xml:space="preserve"> – Riesgo relativo (Relative Risk)</w:t>
      </w:r>
    </w:p>
    <w:p w14:paraId="52026C4C" w14:textId="77777777" w:rsidR="00C84675" w:rsidRPr="007269CC" w:rsidRDefault="00C84675">
      <w:pPr>
        <w:rPr>
          <w:rFonts w:ascii="Times New Roman" w:hAnsi="Times New Roman" w:cs="Times New Roman"/>
          <w:sz w:val="24"/>
          <w:szCs w:val="24"/>
          <w:lang w:val="en-US"/>
        </w:rPr>
      </w:pPr>
      <w:r w:rsidRPr="007269CC">
        <w:rPr>
          <w:rFonts w:ascii="Times New Roman" w:hAnsi="Times New Roman" w:cs="Times New Roman"/>
          <w:sz w:val="24"/>
          <w:szCs w:val="24"/>
          <w:lang w:val="en-US"/>
        </w:rPr>
        <w:lastRenderedPageBreak/>
        <w:t>SCFAs</w:t>
      </w:r>
      <w:r w:rsidRPr="007269CC">
        <w:rPr>
          <w:rStyle w:val="s1"/>
          <w:rFonts w:ascii="Times New Roman" w:hAnsi="Times New Roman" w:cs="Times New Roman"/>
          <w:sz w:val="24"/>
          <w:szCs w:val="24"/>
          <w:lang w:val="en-US"/>
        </w:rPr>
        <w:t xml:space="preserve"> – Short-chain fatty acids</w:t>
      </w:r>
    </w:p>
    <w:p w14:paraId="42018596"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SNC</w:t>
      </w:r>
      <w:r w:rsidRPr="007269CC">
        <w:rPr>
          <w:rStyle w:val="s1"/>
          <w:rFonts w:ascii="Times New Roman" w:hAnsi="Times New Roman" w:cs="Times New Roman"/>
          <w:sz w:val="24"/>
          <w:szCs w:val="24"/>
        </w:rPr>
        <w:t xml:space="preserve"> – Sistema nervioso central</w:t>
      </w:r>
    </w:p>
    <w:p w14:paraId="4F6EAD7F"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SNE</w:t>
      </w:r>
      <w:r w:rsidRPr="007269CC">
        <w:rPr>
          <w:rStyle w:val="s1"/>
          <w:rFonts w:ascii="Times New Roman" w:hAnsi="Times New Roman" w:cs="Times New Roman"/>
          <w:sz w:val="24"/>
          <w:szCs w:val="24"/>
        </w:rPr>
        <w:t xml:space="preserve"> – Sistema nervioso entérico</w:t>
      </w:r>
    </w:p>
    <w:p w14:paraId="6402D174" w14:textId="77777777" w:rsidR="00C84675" w:rsidRPr="007269CC" w:rsidRDefault="00C84675">
      <w:pPr>
        <w:rPr>
          <w:rFonts w:ascii="Times New Roman" w:hAnsi="Times New Roman" w:cs="Times New Roman"/>
          <w:sz w:val="24"/>
          <w:szCs w:val="24"/>
        </w:rPr>
      </w:pPr>
      <w:r w:rsidRPr="007269CC">
        <w:rPr>
          <w:rFonts w:ascii="Times New Roman" w:hAnsi="Times New Roman" w:cs="Times New Roman"/>
          <w:sz w:val="24"/>
          <w:szCs w:val="24"/>
        </w:rPr>
        <w:t>TNF-α</w:t>
      </w:r>
      <w:r w:rsidRPr="007269CC">
        <w:rPr>
          <w:rStyle w:val="s1"/>
          <w:rFonts w:ascii="Times New Roman" w:hAnsi="Times New Roman" w:cs="Times New Roman"/>
          <w:sz w:val="24"/>
          <w:szCs w:val="24"/>
        </w:rPr>
        <w:t xml:space="preserve"> – Factor de necrosis tumoral alfa</w:t>
      </w:r>
    </w:p>
    <w:p w14:paraId="0B88A089" w14:textId="77777777" w:rsidR="00C84675" w:rsidRPr="007269CC" w:rsidRDefault="00C84675" w:rsidP="00C84675">
      <w:pPr>
        <w:spacing w:line="360" w:lineRule="auto"/>
        <w:rPr>
          <w:rFonts w:ascii="Times New Roman" w:hAnsi="Times New Roman" w:cs="Times New Roman"/>
          <w:sz w:val="24"/>
          <w:szCs w:val="24"/>
        </w:rPr>
      </w:pPr>
    </w:p>
    <w:p w14:paraId="602E1834" w14:textId="77777777" w:rsidR="009772B5" w:rsidRPr="007269CC" w:rsidRDefault="009772B5" w:rsidP="008D3069">
      <w:pPr>
        <w:spacing w:line="360" w:lineRule="auto"/>
        <w:jc w:val="center"/>
        <w:rPr>
          <w:rFonts w:ascii="Times New Roman" w:hAnsi="Times New Roman" w:cs="Times New Roman"/>
          <w:sz w:val="24"/>
          <w:szCs w:val="24"/>
        </w:rPr>
      </w:pPr>
    </w:p>
    <w:p w14:paraId="7B0DC85F" w14:textId="77777777" w:rsidR="009772B5" w:rsidRPr="003013DE" w:rsidRDefault="009772B5" w:rsidP="008D3069">
      <w:pPr>
        <w:spacing w:line="360" w:lineRule="auto"/>
        <w:jc w:val="center"/>
        <w:rPr>
          <w:rFonts w:ascii="Times New Roman" w:hAnsi="Times New Roman" w:cs="Times New Roman"/>
          <w:b/>
          <w:sz w:val="32"/>
          <w:szCs w:val="32"/>
        </w:rPr>
      </w:pPr>
    </w:p>
    <w:p w14:paraId="0038A033" w14:textId="77777777" w:rsidR="009772B5" w:rsidRPr="003013DE" w:rsidRDefault="009772B5" w:rsidP="008D3069">
      <w:pPr>
        <w:spacing w:line="360" w:lineRule="auto"/>
        <w:jc w:val="center"/>
        <w:rPr>
          <w:rFonts w:ascii="Times New Roman" w:hAnsi="Times New Roman" w:cs="Times New Roman"/>
          <w:b/>
          <w:sz w:val="32"/>
          <w:szCs w:val="32"/>
        </w:rPr>
      </w:pPr>
    </w:p>
    <w:p w14:paraId="4FC63F2B" w14:textId="77777777" w:rsidR="009772B5" w:rsidRPr="003013DE" w:rsidRDefault="009772B5" w:rsidP="008D3069">
      <w:pPr>
        <w:spacing w:line="360" w:lineRule="auto"/>
        <w:jc w:val="center"/>
        <w:rPr>
          <w:rFonts w:ascii="Times New Roman" w:hAnsi="Times New Roman" w:cs="Times New Roman"/>
          <w:b/>
          <w:sz w:val="32"/>
          <w:szCs w:val="32"/>
        </w:rPr>
      </w:pPr>
    </w:p>
    <w:p w14:paraId="430EEE6F" w14:textId="77777777" w:rsidR="00E74F8A" w:rsidRPr="003013DE" w:rsidRDefault="00E74F8A" w:rsidP="008D3069">
      <w:pPr>
        <w:spacing w:line="360" w:lineRule="auto"/>
        <w:jc w:val="center"/>
        <w:rPr>
          <w:rFonts w:ascii="Times New Roman" w:hAnsi="Times New Roman" w:cs="Times New Roman"/>
          <w:b/>
          <w:sz w:val="32"/>
          <w:szCs w:val="32"/>
        </w:rPr>
      </w:pPr>
    </w:p>
    <w:p w14:paraId="1202198E" w14:textId="77777777" w:rsidR="00E74F8A" w:rsidRPr="003013DE" w:rsidRDefault="00E74F8A" w:rsidP="008D3069">
      <w:pPr>
        <w:spacing w:line="360" w:lineRule="auto"/>
        <w:jc w:val="center"/>
        <w:rPr>
          <w:rFonts w:ascii="Times New Roman" w:hAnsi="Times New Roman" w:cs="Times New Roman"/>
          <w:b/>
          <w:sz w:val="32"/>
          <w:szCs w:val="32"/>
        </w:rPr>
      </w:pPr>
    </w:p>
    <w:p w14:paraId="5B64A939" w14:textId="77777777" w:rsidR="00E74F8A" w:rsidRPr="003013DE" w:rsidRDefault="00E74F8A" w:rsidP="008D3069">
      <w:pPr>
        <w:spacing w:line="360" w:lineRule="auto"/>
        <w:jc w:val="center"/>
        <w:rPr>
          <w:rFonts w:ascii="Times New Roman" w:hAnsi="Times New Roman" w:cs="Times New Roman"/>
          <w:b/>
          <w:sz w:val="32"/>
          <w:szCs w:val="32"/>
        </w:rPr>
      </w:pPr>
    </w:p>
    <w:p w14:paraId="47B25B5C" w14:textId="77777777" w:rsidR="00E74F8A" w:rsidRPr="003013DE" w:rsidRDefault="00E74F8A" w:rsidP="008D3069">
      <w:pPr>
        <w:spacing w:line="360" w:lineRule="auto"/>
        <w:jc w:val="center"/>
        <w:rPr>
          <w:rFonts w:ascii="Times New Roman" w:hAnsi="Times New Roman" w:cs="Times New Roman"/>
          <w:b/>
          <w:sz w:val="32"/>
          <w:szCs w:val="32"/>
        </w:rPr>
      </w:pPr>
    </w:p>
    <w:p w14:paraId="460EBBED" w14:textId="77777777" w:rsidR="00E74F8A" w:rsidRPr="003013DE" w:rsidRDefault="00E74F8A" w:rsidP="008D3069">
      <w:pPr>
        <w:spacing w:line="360" w:lineRule="auto"/>
        <w:jc w:val="center"/>
        <w:rPr>
          <w:rFonts w:ascii="Times New Roman" w:hAnsi="Times New Roman" w:cs="Times New Roman"/>
          <w:b/>
          <w:sz w:val="32"/>
          <w:szCs w:val="32"/>
        </w:rPr>
      </w:pPr>
    </w:p>
    <w:p w14:paraId="7A141601" w14:textId="77777777" w:rsidR="003406E6" w:rsidRPr="003013DE" w:rsidRDefault="003406E6" w:rsidP="008D3069">
      <w:pPr>
        <w:spacing w:line="360" w:lineRule="auto"/>
        <w:jc w:val="center"/>
        <w:rPr>
          <w:rFonts w:ascii="Times New Roman" w:hAnsi="Times New Roman" w:cs="Times New Roman"/>
          <w:b/>
          <w:sz w:val="32"/>
          <w:szCs w:val="32"/>
        </w:rPr>
        <w:sectPr w:rsidR="003406E6" w:rsidRPr="003013DE" w:rsidSect="003406E6">
          <w:headerReference w:type="default" r:id="rId8"/>
          <w:pgSz w:w="12240" w:h="15840"/>
          <w:pgMar w:top="1417" w:right="1701" w:bottom="1417" w:left="1701" w:header="708" w:footer="708" w:gutter="0"/>
          <w:pgNumType w:fmt="lowerRoman"/>
          <w:cols w:space="708"/>
          <w:titlePg/>
          <w:docGrid w:linePitch="360"/>
        </w:sectPr>
      </w:pPr>
    </w:p>
    <w:p w14:paraId="0DF17EBA" w14:textId="5F3B1EA9" w:rsidR="00E74F8A" w:rsidRPr="003013DE" w:rsidRDefault="00E74F8A" w:rsidP="008D3069">
      <w:pPr>
        <w:spacing w:line="360" w:lineRule="auto"/>
        <w:jc w:val="center"/>
        <w:rPr>
          <w:rFonts w:ascii="Times New Roman" w:hAnsi="Times New Roman" w:cs="Times New Roman"/>
          <w:b/>
          <w:sz w:val="32"/>
          <w:szCs w:val="32"/>
        </w:rPr>
      </w:pPr>
    </w:p>
    <w:p w14:paraId="3FF793BC" w14:textId="77777777" w:rsidR="00E74F8A" w:rsidRPr="003013DE" w:rsidRDefault="00E74F8A" w:rsidP="008D3069">
      <w:pPr>
        <w:spacing w:line="360" w:lineRule="auto"/>
        <w:jc w:val="center"/>
        <w:rPr>
          <w:rFonts w:ascii="Times New Roman" w:hAnsi="Times New Roman" w:cs="Times New Roman"/>
          <w:b/>
          <w:sz w:val="32"/>
          <w:szCs w:val="32"/>
        </w:rPr>
      </w:pPr>
    </w:p>
    <w:p w14:paraId="3DBB29E8" w14:textId="77777777" w:rsidR="00E74F8A" w:rsidRPr="003013DE" w:rsidRDefault="00E74F8A" w:rsidP="008D3069">
      <w:pPr>
        <w:spacing w:line="360" w:lineRule="auto"/>
        <w:jc w:val="center"/>
        <w:rPr>
          <w:rFonts w:ascii="Times New Roman" w:hAnsi="Times New Roman" w:cs="Times New Roman"/>
          <w:b/>
          <w:sz w:val="32"/>
          <w:szCs w:val="32"/>
        </w:rPr>
      </w:pPr>
    </w:p>
    <w:p w14:paraId="45B17479" w14:textId="77777777" w:rsidR="00E74F8A" w:rsidRPr="003013DE" w:rsidRDefault="00E74F8A" w:rsidP="008D3069">
      <w:pPr>
        <w:spacing w:line="360" w:lineRule="auto"/>
        <w:jc w:val="center"/>
        <w:rPr>
          <w:rFonts w:ascii="Times New Roman" w:hAnsi="Times New Roman" w:cs="Times New Roman"/>
          <w:b/>
          <w:sz w:val="32"/>
          <w:szCs w:val="32"/>
        </w:rPr>
      </w:pPr>
    </w:p>
    <w:p w14:paraId="55A6A6C8" w14:textId="77777777" w:rsidR="00E74F8A" w:rsidRPr="003013DE" w:rsidRDefault="00E74F8A" w:rsidP="008D3069">
      <w:pPr>
        <w:spacing w:line="360" w:lineRule="auto"/>
        <w:jc w:val="center"/>
        <w:rPr>
          <w:rFonts w:ascii="Times New Roman" w:hAnsi="Times New Roman" w:cs="Times New Roman"/>
          <w:b/>
          <w:sz w:val="32"/>
          <w:szCs w:val="32"/>
        </w:rPr>
      </w:pPr>
    </w:p>
    <w:p w14:paraId="772F3A95" w14:textId="77777777" w:rsidR="00E74F8A" w:rsidRPr="003013DE" w:rsidRDefault="00E74F8A" w:rsidP="008D3069">
      <w:pPr>
        <w:spacing w:line="360" w:lineRule="auto"/>
        <w:jc w:val="center"/>
        <w:rPr>
          <w:rFonts w:ascii="Times New Roman" w:hAnsi="Times New Roman" w:cs="Times New Roman"/>
          <w:b/>
          <w:sz w:val="32"/>
          <w:szCs w:val="32"/>
        </w:rPr>
      </w:pPr>
    </w:p>
    <w:p w14:paraId="6B3134F0" w14:textId="77777777" w:rsidR="00E74F8A" w:rsidRPr="003013DE" w:rsidRDefault="00E74F8A" w:rsidP="008D3069">
      <w:pPr>
        <w:spacing w:line="360" w:lineRule="auto"/>
        <w:jc w:val="center"/>
        <w:rPr>
          <w:rFonts w:ascii="Times New Roman" w:hAnsi="Times New Roman" w:cs="Times New Roman"/>
          <w:b/>
          <w:sz w:val="32"/>
          <w:szCs w:val="32"/>
        </w:rPr>
      </w:pPr>
    </w:p>
    <w:p w14:paraId="4E07E31E" w14:textId="77777777" w:rsidR="009772B5" w:rsidRPr="003013DE" w:rsidRDefault="009772B5" w:rsidP="0008506B">
      <w:pPr>
        <w:pStyle w:val="Ttulo1"/>
        <w:ind w:left="2124"/>
        <w:rPr>
          <w:rFonts w:cs="Times New Roman"/>
          <w:b w:val="0"/>
          <w:color w:val="auto"/>
          <w:sz w:val="32"/>
        </w:rPr>
      </w:pPr>
    </w:p>
    <w:p w14:paraId="5FD5FDDE" w14:textId="03722BD3" w:rsidR="007B051C" w:rsidRPr="003013DE" w:rsidRDefault="007B051C" w:rsidP="0008506B">
      <w:pPr>
        <w:pStyle w:val="Ttulo1"/>
        <w:ind w:left="2124"/>
        <w:rPr>
          <w:rFonts w:cs="Times New Roman"/>
          <w:b w:val="0"/>
          <w:color w:val="auto"/>
          <w:spacing w:val="-2"/>
          <w:sz w:val="32"/>
        </w:rPr>
      </w:pPr>
      <w:bookmarkStart w:id="6" w:name="_Toc223177109"/>
      <w:r w:rsidRPr="003013DE">
        <w:rPr>
          <w:rFonts w:cs="Times New Roman"/>
          <w:color w:val="auto"/>
          <w:sz w:val="32"/>
        </w:rPr>
        <w:t>CAPÍTULO</w:t>
      </w:r>
      <w:r w:rsidRPr="003013DE">
        <w:rPr>
          <w:rFonts w:cs="Times New Roman"/>
          <w:color w:val="auto"/>
          <w:spacing w:val="-1"/>
          <w:sz w:val="32"/>
        </w:rPr>
        <w:t xml:space="preserve"> </w:t>
      </w:r>
      <w:r w:rsidRPr="003013DE">
        <w:rPr>
          <w:rFonts w:cs="Times New Roman"/>
          <w:color w:val="auto"/>
          <w:sz w:val="32"/>
        </w:rPr>
        <w:t>I-</w:t>
      </w:r>
      <w:r w:rsidRPr="003013DE">
        <w:rPr>
          <w:rFonts w:cs="Times New Roman"/>
          <w:color w:val="auto"/>
          <w:spacing w:val="-1"/>
          <w:sz w:val="32"/>
        </w:rPr>
        <w:t xml:space="preserve"> </w:t>
      </w:r>
      <w:r w:rsidRPr="003013DE">
        <w:rPr>
          <w:rFonts w:cs="Times New Roman"/>
          <w:color w:val="auto"/>
          <w:spacing w:val="-2"/>
          <w:sz w:val="32"/>
        </w:rPr>
        <w:t>INTRODUCCIÓN</w:t>
      </w:r>
      <w:bookmarkEnd w:id="6"/>
    </w:p>
    <w:p w14:paraId="37145308" w14:textId="21C22284" w:rsidR="007B051C" w:rsidRPr="003013DE" w:rsidRDefault="007B051C" w:rsidP="008D3069">
      <w:pPr>
        <w:spacing w:line="360" w:lineRule="auto"/>
        <w:jc w:val="center"/>
        <w:rPr>
          <w:rFonts w:ascii="Times New Roman" w:hAnsi="Times New Roman" w:cs="Times New Roman"/>
          <w:b/>
          <w:spacing w:val="-2"/>
          <w:sz w:val="32"/>
          <w:szCs w:val="32"/>
        </w:rPr>
      </w:pPr>
    </w:p>
    <w:p w14:paraId="71B76915" w14:textId="2842ECC9" w:rsidR="00164AC2" w:rsidRPr="003013DE" w:rsidRDefault="007B051C" w:rsidP="00164AC2">
      <w:pPr>
        <w:rPr>
          <w:rFonts w:ascii="Times New Roman" w:hAnsi="Times New Roman" w:cs="Times New Roman"/>
          <w:b/>
          <w:spacing w:val="-2"/>
          <w:sz w:val="32"/>
          <w:szCs w:val="32"/>
        </w:rPr>
      </w:pPr>
      <w:r w:rsidRPr="003013DE">
        <w:rPr>
          <w:rFonts w:ascii="Times New Roman" w:hAnsi="Times New Roman" w:cs="Times New Roman"/>
          <w:b/>
          <w:spacing w:val="-2"/>
          <w:sz w:val="32"/>
          <w:szCs w:val="32"/>
        </w:rPr>
        <w:br w:type="page"/>
      </w:r>
    </w:p>
    <w:p w14:paraId="3C2F65A9" w14:textId="77777777" w:rsidR="00FF0B2E" w:rsidRPr="003013DE" w:rsidRDefault="00164AC2" w:rsidP="00FF0B2E">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lastRenderedPageBreak/>
        <w:t xml:space="preserve">El presente capítulo tiene como propósito contextualizar y fundamentar la investigación, exponiendo los antecedentes, el planteamiento del problema, los objetivos y la justificación que orientan su desarrollo. En </w:t>
      </w:r>
      <w:r w:rsidR="00B97E54" w:rsidRPr="003013DE">
        <w:rPr>
          <w:rFonts w:ascii="Times New Roman" w:hAnsi="Times New Roman" w:cs="Times New Roman"/>
          <w:bCs/>
          <w:spacing w:val="-2"/>
          <w:sz w:val="24"/>
          <w:szCs w:val="24"/>
        </w:rPr>
        <w:t xml:space="preserve">el </w:t>
      </w:r>
      <w:r w:rsidRPr="003013DE">
        <w:rPr>
          <w:rFonts w:ascii="Times New Roman" w:hAnsi="Times New Roman" w:cs="Times New Roman"/>
          <w:bCs/>
          <w:spacing w:val="-2"/>
          <w:sz w:val="24"/>
          <w:szCs w:val="24"/>
        </w:rPr>
        <w:t xml:space="preserve">se abordan los antecedentes nacionales e internacionales más relevantes que evidencian el creciente interés científico en la relación entre </w:t>
      </w:r>
      <w:bookmarkStart w:id="7" w:name="_Int_gyQY3Vnn"/>
      <w:r w:rsidRPr="003013DE">
        <w:rPr>
          <w:rFonts w:ascii="Times New Roman" w:hAnsi="Times New Roman" w:cs="Times New Roman"/>
          <w:bCs/>
          <w:spacing w:val="-2"/>
          <w:sz w:val="24"/>
          <w:szCs w:val="24"/>
        </w:rPr>
        <w:t>la microbiota intestinal</w:t>
      </w:r>
      <w:bookmarkEnd w:id="7"/>
      <w:r w:rsidRPr="003013DE">
        <w:rPr>
          <w:rFonts w:ascii="Times New Roman" w:hAnsi="Times New Roman" w:cs="Times New Roman"/>
          <w:bCs/>
          <w:spacing w:val="-2"/>
          <w:sz w:val="24"/>
          <w:szCs w:val="24"/>
        </w:rPr>
        <w:t xml:space="preserve"> y la salud neurológica, especialmente en el marco del envejecimiento poblacional y la incidencia de enfermedades neurodegenerativas. </w:t>
      </w:r>
      <w:r w:rsidR="00B97E54" w:rsidRPr="003013DE">
        <w:rPr>
          <w:rFonts w:ascii="Times New Roman" w:hAnsi="Times New Roman" w:cs="Times New Roman"/>
          <w:bCs/>
          <w:spacing w:val="-2"/>
          <w:sz w:val="24"/>
          <w:szCs w:val="24"/>
        </w:rPr>
        <w:t xml:space="preserve"> </w:t>
      </w:r>
      <w:r w:rsidR="00D00806" w:rsidRPr="003013DE">
        <w:rPr>
          <w:rFonts w:ascii="Times New Roman" w:hAnsi="Times New Roman" w:cs="Times New Roman"/>
          <w:bCs/>
          <w:spacing w:val="-2"/>
          <w:sz w:val="24"/>
          <w:szCs w:val="24"/>
        </w:rPr>
        <w:t xml:space="preserve">Posteriormente se incluye el </w:t>
      </w:r>
      <w:r w:rsidRPr="003013DE">
        <w:rPr>
          <w:rFonts w:ascii="Times New Roman" w:hAnsi="Times New Roman" w:cs="Times New Roman"/>
          <w:bCs/>
          <w:spacing w:val="-2"/>
          <w:sz w:val="24"/>
          <w:szCs w:val="24"/>
        </w:rPr>
        <w:t>planteamiento del problema se centra en la falta de investigaciones locales que integren de manera sistemática los componentes microbiológicos, nutricionales y neurocognitivos en la población costarricense</w:t>
      </w:r>
      <w:r w:rsidR="001A718F" w:rsidRPr="003013DE">
        <w:rPr>
          <w:rFonts w:ascii="Times New Roman" w:hAnsi="Times New Roman" w:cs="Times New Roman"/>
          <w:bCs/>
          <w:spacing w:val="-2"/>
          <w:sz w:val="24"/>
          <w:szCs w:val="24"/>
        </w:rPr>
        <w:t xml:space="preserve">. </w:t>
      </w:r>
    </w:p>
    <w:p w14:paraId="6F712B71" w14:textId="66D475E9" w:rsidR="00FF0B2E" w:rsidRPr="003013DE" w:rsidRDefault="00164AC2" w:rsidP="00A3284A">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 xml:space="preserve">Los objetivos de la investigación buscan, analizar la evidencia científica disponible sobre la influencia </w:t>
      </w:r>
      <w:bookmarkStart w:id="8" w:name="_Int_p6G344ev"/>
      <w:r w:rsidR="00FF0B2E" w:rsidRPr="003013DE">
        <w:rPr>
          <w:rFonts w:ascii="Times New Roman" w:hAnsi="Times New Roman" w:cs="Times New Roman"/>
          <w:bCs/>
          <w:spacing w:val="-2"/>
          <w:sz w:val="24"/>
          <w:szCs w:val="24"/>
        </w:rPr>
        <w:t>de la microbiota intestinal</w:t>
      </w:r>
      <w:bookmarkEnd w:id="8"/>
      <w:r w:rsidRPr="003013DE">
        <w:rPr>
          <w:rFonts w:ascii="Times New Roman" w:hAnsi="Times New Roman" w:cs="Times New Roman"/>
          <w:bCs/>
          <w:spacing w:val="-2"/>
          <w:sz w:val="24"/>
          <w:szCs w:val="24"/>
        </w:rPr>
        <w:t xml:space="preserve"> en la salud neurológica </w:t>
      </w:r>
      <w:r w:rsidR="00FF0B2E" w:rsidRPr="003013DE">
        <w:rPr>
          <w:rFonts w:ascii="Times New Roman" w:hAnsi="Times New Roman" w:cs="Times New Roman"/>
          <w:bCs/>
          <w:spacing w:val="-2"/>
          <w:sz w:val="24"/>
          <w:szCs w:val="24"/>
        </w:rPr>
        <w:t>e identificar</w:t>
      </w:r>
      <w:r w:rsidRPr="003013DE">
        <w:rPr>
          <w:rFonts w:ascii="Times New Roman" w:hAnsi="Times New Roman" w:cs="Times New Roman"/>
          <w:bCs/>
          <w:spacing w:val="-2"/>
          <w:sz w:val="24"/>
          <w:szCs w:val="24"/>
        </w:rPr>
        <w:t xml:space="preserve"> los principales mecanismos fisiológicos y bioquímicos implicados en la comunicación bidireccional entre el intestino y el cerebro, así como las implicaciones que estos hallazgos tienen para la prevención de enfermedades neurodegenerativas.</w:t>
      </w:r>
      <w:r w:rsidR="001B5CF4" w:rsidRPr="003013DE">
        <w:rPr>
          <w:rFonts w:ascii="Times New Roman" w:hAnsi="Times New Roman" w:cs="Times New Roman"/>
          <w:bCs/>
          <w:spacing w:val="-2"/>
          <w:sz w:val="24"/>
          <w:szCs w:val="24"/>
        </w:rPr>
        <w:t xml:space="preserve"> Por último, </w:t>
      </w:r>
      <w:r w:rsidRPr="003013DE">
        <w:rPr>
          <w:rFonts w:ascii="Times New Roman" w:hAnsi="Times New Roman" w:cs="Times New Roman"/>
          <w:bCs/>
          <w:spacing w:val="-2"/>
          <w:sz w:val="24"/>
          <w:szCs w:val="24"/>
        </w:rPr>
        <w:t xml:space="preserve">La justificación de este estudio radica en la pertinencia de generar conocimiento que contribuya al entendimiento de los procesos que determinan la salud cerebral en el envejecimiento, reconociendo </w:t>
      </w:r>
      <w:bookmarkStart w:id="9" w:name="_Int_pP19MSBb"/>
      <w:r w:rsidRPr="003013DE">
        <w:rPr>
          <w:rFonts w:ascii="Times New Roman" w:hAnsi="Times New Roman" w:cs="Times New Roman"/>
          <w:bCs/>
          <w:spacing w:val="-2"/>
          <w:sz w:val="24"/>
          <w:szCs w:val="24"/>
        </w:rPr>
        <w:t>a la microbiota intestinal</w:t>
      </w:r>
      <w:bookmarkEnd w:id="9"/>
      <w:r w:rsidRPr="003013DE">
        <w:rPr>
          <w:rFonts w:ascii="Times New Roman" w:hAnsi="Times New Roman" w:cs="Times New Roman"/>
          <w:bCs/>
          <w:spacing w:val="-2"/>
          <w:sz w:val="24"/>
          <w:szCs w:val="24"/>
        </w:rPr>
        <w:t xml:space="preserve"> como un componente modulador clave del eje intestino-cerebro.</w:t>
      </w:r>
      <w:bookmarkStart w:id="10" w:name="_Toc208854527"/>
    </w:p>
    <w:p w14:paraId="0463EF52" w14:textId="6DEB466E" w:rsidR="00FF0B2E" w:rsidRPr="003013DE" w:rsidRDefault="007B051C" w:rsidP="0008506B">
      <w:pPr>
        <w:pStyle w:val="Textocomentario"/>
        <w:numPr>
          <w:ilvl w:val="1"/>
          <w:numId w:val="10"/>
        </w:numPr>
        <w:spacing w:line="360" w:lineRule="auto"/>
        <w:jc w:val="both"/>
        <w:outlineLvl w:val="0"/>
        <w:rPr>
          <w:rFonts w:ascii="Times New Roman" w:hAnsi="Times New Roman" w:cs="Times New Roman"/>
          <w:b/>
          <w:bCs/>
          <w:sz w:val="24"/>
          <w:szCs w:val="24"/>
          <w:lang w:val="es-ES"/>
        </w:rPr>
      </w:pPr>
      <w:bookmarkStart w:id="11" w:name="_Toc223177110"/>
      <w:r w:rsidRPr="003013DE">
        <w:rPr>
          <w:rFonts w:ascii="Times New Roman" w:hAnsi="Times New Roman" w:cs="Times New Roman"/>
          <w:b/>
          <w:sz w:val="24"/>
          <w:szCs w:val="24"/>
          <w:lang w:val="es-ES"/>
        </w:rPr>
        <w:t>Int</w:t>
      </w:r>
      <w:r w:rsidRPr="003013DE">
        <w:rPr>
          <w:rFonts w:ascii="Times New Roman" w:hAnsi="Times New Roman" w:cs="Times New Roman"/>
          <w:b/>
          <w:bCs/>
          <w:sz w:val="24"/>
          <w:szCs w:val="24"/>
          <w:lang w:val="es-ES"/>
        </w:rPr>
        <w:t>roducción</w:t>
      </w:r>
      <w:bookmarkEnd w:id="10"/>
      <w:bookmarkEnd w:id="11"/>
      <w:r w:rsidRPr="003013DE">
        <w:rPr>
          <w:rFonts w:ascii="Times New Roman" w:hAnsi="Times New Roman" w:cs="Times New Roman"/>
          <w:b/>
          <w:bCs/>
          <w:sz w:val="24"/>
          <w:szCs w:val="24"/>
          <w:lang w:val="es-ES"/>
        </w:rPr>
        <w:t xml:space="preserve"> </w:t>
      </w:r>
    </w:p>
    <w:p w14:paraId="3C09C351" w14:textId="269B6211" w:rsidR="00E95989" w:rsidRPr="003013DE" w:rsidRDefault="00ED5C72" w:rsidP="00AD1E4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Comprender el funcionamiento </w:t>
      </w:r>
      <w:r w:rsidR="00725F0E" w:rsidRPr="003013DE">
        <w:rPr>
          <w:rFonts w:ascii="Times New Roman" w:hAnsi="Times New Roman" w:cs="Times New Roman"/>
          <w:sz w:val="24"/>
          <w:szCs w:val="24"/>
          <w:lang w:val="es-ES"/>
        </w:rPr>
        <w:t>del microbiota intestinal</w:t>
      </w:r>
      <w:r w:rsidR="00AD1E45" w:rsidRPr="003013DE">
        <w:rPr>
          <w:rFonts w:ascii="Times New Roman" w:hAnsi="Times New Roman" w:cs="Times New Roman"/>
          <w:sz w:val="24"/>
          <w:szCs w:val="24"/>
          <w:lang w:val="es-ES"/>
        </w:rPr>
        <w:t xml:space="preserve"> en la salud humana ha experimentado un crecimiento exponencial en la última década, </w:t>
      </w:r>
      <w:r w:rsidR="00894F8B" w:rsidRPr="003013DE">
        <w:rPr>
          <w:rFonts w:ascii="Times New Roman" w:hAnsi="Times New Roman" w:cs="Times New Roman"/>
          <w:sz w:val="24"/>
          <w:szCs w:val="24"/>
          <w:lang w:val="es-ES"/>
        </w:rPr>
        <w:t xml:space="preserve">dando como resultado una transformación en las hipótesis </w:t>
      </w:r>
      <w:r w:rsidR="00AD1E45" w:rsidRPr="003013DE">
        <w:rPr>
          <w:rFonts w:ascii="Times New Roman" w:hAnsi="Times New Roman" w:cs="Times New Roman"/>
          <w:sz w:val="24"/>
          <w:szCs w:val="24"/>
          <w:lang w:val="es-ES"/>
        </w:rPr>
        <w:t>sobre la interacción entre el intestino y el sistema nervioso central. El eje microbiotaintestino–cerebro, que integra señales inmunológicas, metabólicas y neuronales, se ha propuesto como un regulador clave de procesos fisiológicos y patológicos que afectan tanto funciones cognitivas como emocionales</w:t>
      </w:r>
      <w:r w:rsidR="004E2375" w:rsidRPr="003013DE">
        <w:rPr>
          <w:rFonts w:ascii="Times New Roman" w:hAnsi="Times New Roman" w:cs="Times New Roman"/>
          <w:sz w:val="24"/>
          <w:szCs w:val="24"/>
          <w:vertAlign w:val="superscript"/>
          <w:lang w:val="es-ES"/>
        </w:rPr>
        <w:t>1</w:t>
      </w:r>
      <w:r w:rsidR="00AD1E45" w:rsidRPr="003013DE">
        <w:rPr>
          <w:rFonts w:ascii="Times New Roman" w:hAnsi="Times New Roman" w:cs="Times New Roman"/>
          <w:sz w:val="24"/>
          <w:szCs w:val="24"/>
          <w:lang w:val="es-ES"/>
        </w:rPr>
        <w:t>.</w:t>
      </w:r>
    </w:p>
    <w:p w14:paraId="34432D7F" w14:textId="5606333A" w:rsidR="00AD1E45" w:rsidRPr="003013DE" w:rsidRDefault="004E2375" w:rsidP="00AD1E4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Además, se ha descrito recientemente </w:t>
      </w:r>
      <w:r w:rsidR="00AD1E45" w:rsidRPr="003013DE">
        <w:rPr>
          <w:rFonts w:ascii="Times New Roman" w:hAnsi="Times New Roman" w:cs="Times New Roman"/>
          <w:sz w:val="24"/>
          <w:szCs w:val="24"/>
          <w:lang w:val="es-ES"/>
        </w:rPr>
        <w:t>que alteraciones en la composición y función del ecosistema microbiano intestinal (disbiosis) pueden asociarse con procesos de neuroinflamación, modificación de la permeabilidad de barreras biológicas y alteraciones en la actividad de microglía, mecanismos todos implicados en la fisiopatología de enfermedades neurodegenerativas como la enfermedad de Alzheimer (EA) y la enfermedad de Parkinson (EP)</w:t>
      </w:r>
      <w:r w:rsidRPr="003013DE">
        <w:rPr>
          <w:rFonts w:ascii="Times New Roman" w:hAnsi="Times New Roman" w:cs="Times New Roman"/>
          <w:sz w:val="24"/>
          <w:szCs w:val="24"/>
          <w:vertAlign w:val="superscript"/>
          <w:lang w:val="es-ES"/>
        </w:rPr>
        <w:t>2</w:t>
      </w:r>
      <w:r w:rsidR="000F4A25" w:rsidRPr="003013DE">
        <w:rPr>
          <w:rFonts w:ascii="Times New Roman" w:hAnsi="Times New Roman" w:cs="Times New Roman"/>
          <w:sz w:val="24"/>
          <w:szCs w:val="24"/>
          <w:vertAlign w:val="superscript"/>
          <w:lang w:val="es-ES"/>
        </w:rPr>
        <w:t>,</w:t>
      </w:r>
      <w:r w:rsidR="004F46F5" w:rsidRPr="003013DE">
        <w:rPr>
          <w:rFonts w:ascii="Times New Roman" w:hAnsi="Times New Roman" w:cs="Times New Roman"/>
          <w:sz w:val="24"/>
          <w:szCs w:val="24"/>
          <w:vertAlign w:val="superscript"/>
          <w:lang w:val="es-ES"/>
        </w:rPr>
        <w:t>3</w:t>
      </w:r>
      <w:r w:rsidR="004F46F5" w:rsidRPr="003013DE">
        <w:rPr>
          <w:rFonts w:ascii="Times New Roman" w:hAnsi="Times New Roman" w:cs="Times New Roman"/>
          <w:sz w:val="24"/>
          <w:szCs w:val="24"/>
          <w:lang w:val="es-ES"/>
        </w:rPr>
        <w:t>.</w:t>
      </w:r>
    </w:p>
    <w:p w14:paraId="10548358" w14:textId="0464497D" w:rsidR="000F4A25" w:rsidRPr="003013DE" w:rsidRDefault="00093394" w:rsidP="00AD1E4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lastRenderedPageBreak/>
        <w:t xml:space="preserve">El tema de la salud intestinal y su relación con enfermedades </w:t>
      </w:r>
      <w:r w:rsidR="00033804" w:rsidRPr="003013DE">
        <w:rPr>
          <w:rFonts w:ascii="Times New Roman" w:hAnsi="Times New Roman" w:cs="Times New Roman"/>
          <w:sz w:val="24"/>
          <w:szCs w:val="24"/>
          <w:lang w:val="es-ES"/>
        </w:rPr>
        <w:t>neutro-degenerativas</w:t>
      </w:r>
      <w:r w:rsidRPr="003013DE">
        <w:rPr>
          <w:rFonts w:ascii="Times New Roman" w:hAnsi="Times New Roman" w:cs="Times New Roman"/>
          <w:sz w:val="24"/>
          <w:szCs w:val="24"/>
          <w:lang w:val="es-ES"/>
        </w:rPr>
        <w:t xml:space="preserve"> ha sido objeto de estudio en los </w:t>
      </w:r>
      <w:r w:rsidR="00033804" w:rsidRPr="003013DE">
        <w:rPr>
          <w:rFonts w:ascii="Times New Roman" w:hAnsi="Times New Roman" w:cs="Times New Roman"/>
          <w:sz w:val="24"/>
          <w:szCs w:val="24"/>
          <w:lang w:val="es-ES"/>
        </w:rPr>
        <w:t xml:space="preserve">últimos años ya que, existe una cantidad </w:t>
      </w:r>
      <w:r w:rsidR="00287484" w:rsidRPr="003013DE">
        <w:rPr>
          <w:rFonts w:ascii="Times New Roman" w:hAnsi="Times New Roman" w:cs="Times New Roman"/>
          <w:sz w:val="24"/>
          <w:szCs w:val="24"/>
          <w:lang w:val="es-ES"/>
        </w:rPr>
        <w:t xml:space="preserve">importante </w:t>
      </w:r>
      <w:r w:rsidR="00033804" w:rsidRPr="003013DE">
        <w:rPr>
          <w:rFonts w:ascii="Times New Roman" w:hAnsi="Times New Roman" w:cs="Times New Roman"/>
          <w:sz w:val="24"/>
          <w:szCs w:val="24"/>
          <w:lang w:val="es-ES"/>
        </w:rPr>
        <w:t xml:space="preserve">de </w:t>
      </w:r>
      <w:r w:rsidR="00AD1E45" w:rsidRPr="003013DE">
        <w:rPr>
          <w:rFonts w:ascii="Times New Roman" w:hAnsi="Times New Roman" w:cs="Times New Roman"/>
          <w:sz w:val="24"/>
          <w:szCs w:val="24"/>
          <w:lang w:val="es-ES"/>
        </w:rPr>
        <w:t xml:space="preserve">literatura publicada entre 2020 y 2025 </w:t>
      </w:r>
      <w:r w:rsidR="00287484" w:rsidRPr="003013DE">
        <w:rPr>
          <w:rFonts w:ascii="Times New Roman" w:hAnsi="Times New Roman" w:cs="Times New Roman"/>
          <w:sz w:val="24"/>
          <w:szCs w:val="24"/>
          <w:lang w:val="es-ES"/>
        </w:rPr>
        <w:t xml:space="preserve">que </w:t>
      </w:r>
      <w:r w:rsidR="00AD1E45" w:rsidRPr="003013DE">
        <w:rPr>
          <w:rFonts w:ascii="Times New Roman" w:hAnsi="Times New Roman" w:cs="Times New Roman"/>
          <w:sz w:val="24"/>
          <w:szCs w:val="24"/>
          <w:lang w:val="es-ES"/>
        </w:rPr>
        <w:t xml:space="preserve">presenta evidencia tanto clínica como preclínica que sugiere correlaciones consistentes entre perfiles microbianos específicos y fenotipos neurológicos. </w:t>
      </w:r>
      <w:r w:rsidR="00287484" w:rsidRPr="003013DE">
        <w:rPr>
          <w:rFonts w:ascii="Times New Roman" w:hAnsi="Times New Roman" w:cs="Times New Roman"/>
          <w:sz w:val="24"/>
          <w:szCs w:val="24"/>
          <w:lang w:val="es-ES"/>
        </w:rPr>
        <w:t xml:space="preserve">Algunas </w:t>
      </w:r>
      <w:r w:rsidR="00AD1E45" w:rsidRPr="003013DE">
        <w:rPr>
          <w:rFonts w:ascii="Times New Roman" w:hAnsi="Times New Roman" w:cs="Times New Roman"/>
          <w:sz w:val="24"/>
          <w:szCs w:val="24"/>
          <w:lang w:val="es-ES"/>
        </w:rPr>
        <w:t>sistemáticas y metaanálisis han identificado cambios reproducibles en la abundancia de determinados taxones bacterianos en pacientes con EP y EA frente a controles sanos, aunque la heterogeneidad entre estudios y las diferencias metodológicas dificultan aún la estandarización de biomarcadores microbianos diagnósticos</w:t>
      </w:r>
      <w:r w:rsidR="009A26E7" w:rsidRPr="003013DE">
        <w:rPr>
          <w:rFonts w:ascii="Times New Roman" w:hAnsi="Times New Roman" w:cs="Times New Roman"/>
          <w:sz w:val="24"/>
          <w:szCs w:val="24"/>
          <w:vertAlign w:val="superscript"/>
          <w:lang w:val="es-ES"/>
        </w:rPr>
        <w:t>4</w:t>
      </w:r>
      <w:r w:rsidR="00AD1E45" w:rsidRPr="003013DE">
        <w:rPr>
          <w:rFonts w:ascii="Times New Roman" w:hAnsi="Times New Roman" w:cs="Times New Roman"/>
          <w:sz w:val="24"/>
          <w:szCs w:val="24"/>
          <w:lang w:val="es-ES"/>
        </w:rPr>
        <w:t>.</w:t>
      </w:r>
    </w:p>
    <w:p w14:paraId="3E4C5A86" w14:textId="3158963B" w:rsidR="00AD1E45" w:rsidRPr="003013DE" w:rsidRDefault="00492BEC" w:rsidP="00AD1E4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Por otra parte, los</w:t>
      </w:r>
      <w:r w:rsidR="00AD1E45" w:rsidRPr="003013DE">
        <w:rPr>
          <w:rFonts w:ascii="Times New Roman" w:hAnsi="Times New Roman" w:cs="Times New Roman"/>
          <w:sz w:val="24"/>
          <w:szCs w:val="24"/>
          <w:lang w:val="es-ES"/>
        </w:rPr>
        <w:t xml:space="preserve"> mecanismos propuestos por los que </w:t>
      </w:r>
      <w:r w:rsidR="0052071B" w:rsidRPr="003013DE">
        <w:rPr>
          <w:rFonts w:ascii="Times New Roman" w:hAnsi="Times New Roman" w:cs="Times New Roman"/>
          <w:sz w:val="24"/>
          <w:szCs w:val="24"/>
          <w:lang w:val="es-ES"/>
        </w:rPr>
        <w:t>el microbiota</w:t>
      </w:r>
      <w:r w:rsidR="00AD1E45" w:rsidRPr="003013DE">
        <w:rPr>
          <w:rFonts w:ascii="Times New Roman" w:hAnsi="Times New Roman" w:cs="Times New Roman"/>
          <w:sz w:val="24"/>
          <w:szCs w:val="24"/>
          <w:lang w:val="es-ES"/>
        </w:rPr>
        <w:t xml:space="preserve"> podría modular la neurodegeneración son multifactoriales e incluyen la producción de metabolitos microbianos (ácidos grasos de cadena corta, polisacáridos, neurotransmisores), la modulación de la inmunidad sistémica e intestinal, la regulación de la integridad de la barrera intestinal y la influencia sobre rutas neuronales vagales y humoral. Estas vías convergen en la regulación del estado funcional de las células gliales y en la promoción o resolución de procesos inflamatorios crónicos que favorecen la degeneración neuronal</w:t>
      </w:r>
      <w:r w:rsidR="00C51A36" w:rsidRPr="003013DE">
        <w:rPr>
          <w:rFonts w:ascii="Times New Roman" w:hAnsi="Times New Roman" w:cs="Times New Roman"/>
          <w:sz w:val="24"/>
          <w:szCs w:val="24"/>
          <w:vertAlign w:val="superscript"/>
          <w:lang w:val="es-ES"/>
        </w:rPr>
        <w:t>5</w:t>
      </w:r>
      <w:r w:rsidR="00AD1E45" w:rsidRPr="003013DE">
        <w:rPr>
          <w:rFonts w:ascii="Times New Roman" w:hAnsi="Times New Roman" w:cs="Times New Roman"/>
          <w:sz w:val="24"/>
          <w:szCs w:val="24"/>
          <w:lang w:val="es-ES"/>
        </w:rPr>
        <w:t>.</w:t>
      </w:r>
    </w:p>
    <w:p w14:paraId="3EAB1E5A" w14:textId="580FF810" w:rsidR="00AD1E45" w:rsidRPr="003013DE" w:rsidRDefault="00A72A95" w:rsidP="00AD1E4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Sin embargo</w:t>
      </w:r>
      <w:r w:rsidR="00AD1E45" w:rsidRPr="003013DE">
        <w:rPr>
          <w:rFonts w:ascii="Times New Roman" w:hAnsi="Times New Roman" w:cs="Times New Roman"/>
          <w:sz w:val="24"/>
          <w:szCs w:val="24"/>
          <w:lang w:val="es-ES"/>
        </w:rPr>
        <w:t>, a pesar</w:t>
      </w:r>
      <w:r w:rsidRPr="003013DE">
        <w:rPr>
          <w:rFonts w:ascii="Times New Roman" w:hAnsi="Times New Roman" w:cs="Times New Roman"/>
          <w:sz w:val="24"/>
          <w:szCs w:val="24"/>
          <w:lang w:val="es-ES"/>
        </w:rPr>
        <w:t xml:space="preserve"> de que en las últimas décadas este tema ha sido atractivo para realizar investigaciones </w:t>
      </w:r>
      <w:r w:rsidR="0004620C" w:rsidRPr="003013DE">
        <w:rPr>
          <w:rFonts w:ascii="Times New Roman" w:hAnsi="Times New Roman" w:cs="Times New Roman"/>
          <w:sz w:val="24"/>
          <w:szCs w:val="24"/>
          <w:lang w:val="es-ES"/>
        </w:rPr>
        <w:t xml:space="preserve">y </w:t>
      </w:r>
      <w:r w:rsidR="00AD1E45" w:rsidRPr="003013DE">
        <w:rPr>
          <w:rFonts w:ascii="Times New Roman" w:hAnsi="Times New Roman" w:cs="Times New Roman"/>
          <w:sz w:val="24"/>
          <w:szCs w:val="24"/>
          <w:lang w:val="es-ES"/>
        </w:rPr>
        <w:t>propuestas terapéuticas basadas en probióticos, prebióticos, dietas moduladoras y trasplante feca</w:t>
      </w:r>
      <w:r w:rsidR="0004620C" w:rsidRPr="003013DE">
        <w:rPr>
          <w:rFonts w:ascii="Times New Roman" w:hAnsi="Times New Roman" w:cs="Times New Roman"/>
          <w:sz w:val="24"/>
          <w:szCs w:val="24"/>
          <w:lang w:val="es-ES"/>
        </w:rPr>
        <w:t>l,</w:t>
      </w:r>
      <w:r w:rsidR="00AD1E45" w:rsidRPr="003013DE">
        <w:rPr>
          <w:rFonts w:ascii="Times New Roman" w:hAnsi="Times New Roman" w:cs="Times New Roman"/>
          <w:sz w:val="24"/>
          <w:szCs w:val="24"/>
          <w:lang w:val="es-ES"/>
        </w:rPr>
        <w:t xml:space="preserve"> la evidencia clínica robusta sobre eficacia, seguridad y duración del efecto en poblaciones con enfermedades neurodegenerativas sigue siendo limitada. </w:t>
      </w:r>
      <w:r w:rsidR="0004620C" w:rsidRPr="003013DE">
        <w:rPr>
          <w:rFonts w:ascii="Times New Roman" w:hAnsi="Times New Roman" w:cs="Times New Roman"/>
          <w:sz w:val="24"/>
          <w:szCs w:val="24"/>
          <w:lang w:val="es-ES"/>
        </w:rPr>
        <w:t xml:space="preserve">Algunas de las principales limitaciones </w:t>
      </w:r>
      <w:r w:rsidR="00E83DFA" w:rsidRPr="003013DE">
        <w:rPr>
          <w:rFonts w:ascii="Times New Roman" w:hAnsi="Times New Roman" w:cs="Times New Roman"/>
          <w:sz w:val="24"/>
          <w:szCs w:val="24"/>
          <w:lang w:val="es-ES"/>
        </w:rPr>
        <w:t xml:space="preserve">son: </w:t>
      </w:r>
      <w:r w:rsidR="00AD1E45" w:rsidRPr="003013DE">
        <w:rPr>
          <w:rFonts w:ascii="Times New Roman" w:hAnsi="Times New Roman" w:cs="Times New Roman"/>
          <w:sz w:val="24"/>
          <w:szCs w:val="24"/>
          <w:lang w:val="es-ES"/>
        </w:rPr>
        <w:t>tamaños de muestra pequeños, diseños observacionales mayoritarios, falta de replicación en cohortes independientes y escasa homogeneidad en los criterios de intervención y en las medidas de resultado neurológico</w:t>
      </w:r>
      <w:r w:rsidR="00A138A6" w:rsidRPr="003013DE">
        <w:rPr>
          <w:rFonts w:ascii="Times New Roman" w:hAnsi="Times New Roman" w:cs="Times New Roman"/>
          <w:sz w:val="24"/>
          <w:szCs w:val="24"/>
          <w:vertAlign w:val="superscript"/>
          <w:lang w:val="es-ES"/>
        </w:rPr>
        <w:t>6</w:t>
      </w:r>
      <w:r w:rsidR="00AD1E45" w:rsidRPr="003013DE">
        <w:rPr>
          <w:rFonts w:ascii="Times New Roman" w:hAnsi="Times New Roman" w:cs="Times New Roman"/>
          <w:sz w:val="24"/>
          <w:szCs w:val="24"/>
          <w:lang w:val="es-ES"/>
        </w:rPr>
        <w:t xml:space="preserve">. </w:t>
      </w:r>
    </w:p>
    <w:p w14:paraId="179F47A7" w14:textId="2394CFA4" w:rsidR="00EB0A8A" w:rsidRPr="003013DE" w:rsidRDefault="00E41C39" w:rsidP="00FF0B2E">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Por lo anterior, esta</w:t>
      </w:r>
      <w:r w:rsidR="00AD1E45" w:rsidRPr="003013DE">
        <w:rPr>
          <w:rFonts w:ascii="Times New Roman" w:hAnsi="Times New Roman" w:cs="Times New Roman"/>
          <w:sz w:val="24"/>
          <w:szCs w:val="24"/>
          <w:lang w:val="es-ES"/>
        </w:rPr>
        <w:t xml:space="preserve"> revisión </w:t>
      </w:r>
      <w:r w:rsidRPr="003013DE">
        <w:rPr>
          <w:rFonts w:ascii="Times New Roman" w:hAnsi="Times New Roman" w:cs="Times New Roman"/>
          <w:sz w:val="24"/>
          <w:szCs w:val="24"/>
          <w:lang w:val="es-ES"/>
        </w:rPr>
        <w:t xml:space="preserve">bibliográfica </w:t>
      </w:r>
      <w:r w:rsidR="00AD1E45" w:rsidRPr="003013DE">
        <w:rPr>
          <w:rFonts w:ascii="Times New Roman" w:hAnsi="Times New Roman" w:cs="Times New Roman"/>
          <w:sz w:val="24"/>
          <w:szCs w:val="24"/>
          <w:lang w:val="es-ES"/>
        </w:rPr>
        <w:t xml:space="preserve">propone sintetizar la evidencia publicada entre 2020 y 2025 sobre la relación entre microbiota intestinal y enfermedades neurodegenerativas, evaluar la solidez de los mecanismos propuestos y discutir el estado actual y las perspectivas de intervenciones dirigidas </w:t>
      </w:r>
      <w:r w:rsidR="00AD47E2" w:rsidRPr="003013DE">
        <w:rPr>
          <w:rFonts w:ascii="Times New Roman" w:hAnsi="Times New Roman" w:cs="Times New Roman"/>
          <w:sz w:val="24"/>
          <w:szCs w:val="24"/>
          <w:lang w:val="es-ES"/>
        </w:rPr>
        <w:t>al microbiota</w:t>
      </w:r>
      <w:r w:rsidR="00AD1E45" w:rsidRPr="003013DE">
        <w:rPr>
          <w:rFonts w:ascii="Times New Roman" w:hAnsi="Times New Roman" w:cs="Times New Roman"/>
          <w:sz w:val="24"/>
          <w:szCs w:val="24"/>
          <w:lang w:val="es-ES"/>
        </w:rPr>
        <w:t xml:space="preserve"> como estrategia preventiva o terapéutica. </w:t>
      </w:r>
      <w:r w:rsidR="00AD47E2" w:rsidRPr="003013DE">
        <w:rPr>
          <w:rFonts w:ascii="Times New Roman" w:hAnsi="Times New Roman" w:cs="Times New Roman"/>
          <w:sz w:val="24"/>
          <w:szCs w:val="24"/>
          <w:lang w:val="es-ES"/>
        </w:rPr>
        <w:t xml:space="preserve">Adicionalmente se </w:t>
      </w:r>
      <w:r w:rsidR="00D77112" w:rsidRPr="003013DE">
        <w:rPr>
          <w:rFonts w:ascii="Times New Roman" w:hAnsi="Times New Roman" w:cs="Times New Roman"/>
          <w:sz w:val="24"/>
          <w:szCs w:val="24"/>
          <w:lang w:val="es-ES"/>
        </w:rPr>
        <w:t xml:space="preserve">tomará como aspecto fundamental </w:t>
      </w:r>
      <w:r w:rsidR="00AD1E45" w:rsidRPr="003013DE">
        <w:rPr>
          <w:rFonts w:ascii="Times New Roman" w:hAnsi="Times New Roman" w:cs="Times New Roman"/>
          <w:sz w:val="24"/>
          <w:szCs w:val="24"/>
          <w:lang w:val="es-ES"/>
        </w:rPr>
        <w:t xml:space="preserve">la calidad metodológica de los estudios, </w:t>
      </w:r>
      <w:r w:rsidR="00D77112" w:rsidRPr="003013DE">
        <w:rPr>
          <w:rFonts w:ascii="Times New Roman" w:hAnsi="Times New Roman" w:cs="Times New Roman"/>
          <w:sz w:val="24"/>
          <w:szCs w:val="24"/>
          <w:lang w:val="es-ES"/>
        </w:rPr>
        <w:t>la</w:t>
      </w:r>
      <w:r w:rsidR="00AD1E45" w:rsidRPr="003013DE">
        <w:rPr>
          <w:rFonts w:ascii="Times New Roman" w:hAnsi="Times New Roman" w:cs="Times New Roman"/>
          <w:sz w:val="24"/>
          <w:szCs w:val="24"/>
          <w:lang w:val="es-ES"/>
        </w:rPr>
        <w:t xml:space="preserve"> consistencia de hallazgos entre cohortes y modelos experimentales, y las lagunas de conocimiento que deben guiar investigaciones futuras en la búsqueda de biomarcadores y terapias basadas en </w:t>
      </w:r>
      <w:r w:rsidR="00A138A6" w:rsidRPr="003013DE">
        <w:rPr>
          <w:rFonts w:ascii="Times New Roman" w:hAnsi="Times New Roman" w:cs="Times New Roman"/>
          <w:sz w:val="24"/>
          <w:szCs w:val="24"/>
          <w:lang w:val="es-ES"/>
        </w:rPr>
        <w:t>el microbiota</w:t>
      </w:r>
      <w:r w:rsidR="00F85990" w:rsidRPr="003013DE">
        <w:rPr>
          <w:rFonts w:ascii="Times New Roman" w:hAnsi="Times New Roman" w:cs="Times New Roman"/>
          <w:sz w:val="24"/>
          <w:szCs w:val="24"/>
          <w:lang w:val="es-ES"/>
        </w:rPr>
        <w:t>.</w:t>
      </w:r>
    </w:p>
    <w:p w14:paraId="26443794" w14:textId="79084939" w:rsidR="00A57061" w:rsidRPr="003013DE" w:rsidRDefault="007B051C" w:rsidP="0008506B">
      <w:pPr>
        <w:pStyle w:val="Textocomentario"/>
        <w:numPr>
          <w:ilvl w:val="1"/>
          <w:numId w:val="10"/>
        </w:numPr>
        <w:spacing w:line="360" w:lineRule="auto"/>
        <w:jc w:val="both"/>
        <w:outlineLvl w:val="0"/>
        <w:rPr>
          <w:rFonts w:ascii="Times New Roman" w:hAnsi="Times New Roman" w:cs="Times New Roman"/>
          <w:b/>
          <w:bCs/>
          <w:sz w:val="24"/>
          <w:szCs w:val="24"/>
          <w:lang w:val="es-ES"/>
        </w:rPr>
      </w:pPr>
      <w:bookmarkStart w:id="12" w:name="_Toc223177111"/>
      <w:r w:rsidRPr="003013DE">
        <w:rPr>
          <w:rFonts w:ascii="Times New Roman" w:hAnsi="Times New Roman" w:cs="Times New Roman"/>
          <w:b/>
          <w:bCs/>
          <w:sz w:val="24"/>
          <w:szCs w:val="24"/>
          <w:lang w:val="es-ES"/>
        </w:rPr>
        <w:lastRenderedPageBreak/>
        <w:t>Planteamiento del problema</w:t>
      </w:r>
      <w:bookmarkEnd w:id="12"/>
    </w:p>
    <w:p w14:paraId="66E51B9C" w14:textId="32BE5696" w:rsidR="00B006CC" w:rsidRPr="007269CC" w:rsidRDefault="00723B03" w:rsidP="00311950">
      <w:pPr>
        <w:pStyle w:val="Piedepgina"/>
        <w:spacing w:line="360" w:lineRule="auto"/>
        <w:ind w:firstLine="708"/>
        <w:jc w:val="both"/>
        <w:rPr>
          <w:rFonts w:ascii="Times New Roman" w:hAnsi="Times New Roman" w:cs="Times New Roman"/>
          <w:sz w:val="24"/>
          <w:szCs w:val="24"/>
        </w:rPr>
      </w:pPr>
      <w:r w:rsidRPr="007269CC">
        <w:rPr>
          <w:rFonts w:ascii="Times New Roman" w:hAnsi="Times New Roman" w:cs="Times New Roman"/>
          <w:sz w:val="24"/>
          <w:szCs w:val="24"/>
        </w:rPr>
        <w:t xml:space="preserve">Al realizar la revisión de la </w:t>
      </w:r>
      <w:r w:rsidR="00B006CC" w:rsidRPr="007269CC">
        <w:rPr>
          <w:rFonts w:ascii="Times New Roman" w:hAnsi="Times New Roman" w:cs="Times New Roman"/>
          <w:sz w:val="24"/>
          <w:szCs w:val="24"/>
        </w:rPr>
        <w:t xml:space="preserve">evidencia publicada entre 2020 y 2025 </w:t>
      </w:r>
      <w:r w:rsidRPr="007269CC">
        <w:rPr>
          <w:rFonts w:ascii="Times New Roman" w:hAnsi="Times New Roman" w:cs="Times New Roman"/>
          <w:sz w:val="24"/>
          <w:szCs w:val="24"/>
        </w:rPr>
        <w:t xml:space="preserve">se </w:t>
      </w:r>
      <w:r w:rsidR="00B006CC" w:rsidRPr="007269CC">
        <w:rPr>
          <w:rFonts w:ascii="Times New Roman" w:hAnsi="Times New Roman" w:cs="Times New Roman"/>
          <w:sz w:val="24"/>
          <w:szCs w:val="24"/>
        </w:rPr>
        <w:t>muestra que la microbiota intestinal influye de manera bidireccional sobre el sistema nervioso central a través de vías metabólicas, inmunológicas y neurales el llamado eje microbiota-intestino-cerebro metabolitos microbianos, la permeabilidad intestinal y la modulación de la respuesta inmune periférica alteran la activación de microglía y la neuroinflamación, procesos clave en la homeostasis neuronal y en la aparición de disfunción sináptica.</w:t>
      </w:r>
      <w:r w:rsidR="00B006CC" w:rsidRPr="007269CC">
        <w:rPr>
          <w:rStyle w:val="PiedepginaCar"/>
          <w:rFonts w:ascii="Times New Roman" w:hAnsi="Times New Roman" w:cs="Times New Roman"/>
          <w:sz w:val="24"/>
          <w:szCs w:val="24"/>
        </w:rPr>
        <w:t> </w:t>
      </w:r>
      <w:r w:rsidR="00B006CC" w:rsidRPr="007269CC">
        <w:rPr>
          <w:rFonts w:ascii="Times New Roman" w:hAnsi="Times New Roman" w:cs="Times New Roman"/>
          <w:sz w:val="24"/>
          <w:szCs w:val="24"/>
        </w:rPr>
        <w:t xml:space="preserve"> </w:t>
      </w:r>
    </w:p>
    <w:p w14:paraId="7E612D06" w14:textId="360A45FE" w:rsidR="00B006CC" w:rsidRPr="007269CC" w:rsidRDefault="00226FB0" w:rsidP="00311950">
      <w:pPr>
        <w:pStyle w:val="Piedepgina"/>
        <w:spacing w:line="360" w:lineRule="auto"/>
        <w:ind w:firstLine="708"/>
        <w:jc w:val="both"/>
        <w:rPr>
          <w:rFonts w:ascii="Times New Roman" w:hAnsi="Times New Roman" w:cs="Times New Roman"/>
          <w:sz w:val="24"/>
          <w:szCs w:val="24"/>
        </w:rPr>
      </w:pPr>
      <w:r w:rsidRPr="007269CC">
        <w:rPr>
          <w:rFonts w:ascii="Times New Roman" w:hAnsi="Times New Roman" w:cs="Times New Roman"/>
          <w:sz w:val="24"/>
          <w:szCs w:val="24"/>
        </w:rPr>
        <w:t xml:space="preserve">Por otra parte, en </w:t>
      </w:r>
      <w:r w:rsidR="00B006CC" w:rsidRPr="007269CC">
        <w:rPr>
          <w:rFonts w:ascii="Times New Roman" w:hAnsi="Times New Roman" w:cs="Times New Roman"/>
          <w:sz w:val="24"/>
          <w:szCs w:val="24"/>
        </w:rPr>
        <w:t>enfermedades neurodegenerativas concretas, los estudios observacionales y experimentales de la última mitad de la década han descrito patrones consistentes de disbiosis asociados a Parkinson y al espectro de la enfermedad de Alzheimer: en Parkinson se han reportado alteraciones bacterianas relacionadas con mayor inflamación intestinal, menor producción de metabolitos neuroprotectores y correlación con síntomas no motores precoces; en alzhéimer, meta-análisis y estudios de secuenciación han detectado cambios en composición microbiana y en vías metabólicas  que se asocian a mayor microinflamación y acumulación de proteínas patológicas en modelos animales y, de forma incipiente, en cohortes humanas</w:t>
      </w:r>
      <w:r w:rsidRPr="007269CC">
        <w:rPr>
          <w:rFonts w:ascii="Times New Roman" w:hAnsi="Times New Roman" w:cs="Times New Roman"/>
          <w:sz w:val="24"/>
          <w:szCs w:val="24"/>
          <w:vertAlign w:val="superscript"/>
        </w:rPr>
        <w:t>5</w:t>
      </w:r>
      <w:r w:rsidR="00B006CC" w:rsidRPr="007269CC">
        <w:rPr>
          <w:rFonts w:ascii="Times New Roman" w:hAnsi="Times New Roman" w:cs="Times New Roman"/>
          <w:sz w:val="24"/>
          <w:szCs w:val="24"/>
        </w:rPr>
        <w:t>.</w:t>
      </w:r>
      <w:r w:rsidR="00B006CC" w:rsidRPr="007269CC">
        <w:rPr>
          <w:rStyle w:val="PiedepginaCar"/>
          <w:rFonts w:ascii="Times New Roman" w:hAnsi="Times New Roman" w:cs="Times New Roman"/>
          <w:sz w:val="24"/>
          <w:szCs w:val="24"/>
        </w:rPr>
        <w:t> </w:t>
      </w:r>
      <w:r w:rsidR="00B006CC" w:rsidRPr="007269CC">
        <w:rPr>
          <w:rFonts w:ascii="Times New Roman" w:hAnsi="Times New Roman" w:cs="Times New Roman"/>
          <w:sz w:val="24"/>
          <w:szCs w:val="24"/>
        </w:rPr>
        <w:t xml:space="preserve"> </w:t>
      </w:r>
    </w:p>
    <w:p w14:paraId="20858307" w14:textId="7D293FC8" w:rsidR="00A57061" w:rsidRPr="007269CC" w:rsidRDefault="00B006CC" w:rsidP="00844B6F">
      <w:pPr>
        <w:pStyle w:val="Piedepgina"/>
        <w:spacing w:line="360" w:lineRule="auto"/>
        <w:ind w:firstLine="708"/>
        <w:jc w:val="both"/>
        <w:rPr>
          <w:rFonts w:ascii="Times New Roman" w:hAnsi="Times New Roman" w:cs="Times New Roman"/>
          <w:sz w:val="24"/>
          <w:szCs w:val="24"/>
        </w:rPr>
      </w:pPr>
      <w:r w:rsidRPr="007269CC">
        <w:rPr>
          <w:rFonts w:ascii="Times New Roman" w:hAnsi="Times New Roman" w:cs="Times New Roman"/>
          <w:sz w:val="24"/>
          <w:szCs w:val="24"/>
        </w:rPr>
        <w:t>A pesar del crecimiento rápido de publicaciones, la evidencia sigue siendo mayoritariamente asociativa y basada en modelos animales o estudios transversales en humanos; sin embargo, revisiones recientes subrayan que la modulación de la microbiota muestra señales prometedoras de atenuación de neuroinflamación y mejora funcional en modelos preclínicos y en pequeños ensayos, aunque hacen falta ensayos clínicos aleatorizados, estandarización metodológica y evaluación a largo plazo para establecer causalidad, seguridad y eficacia en poblaciones con riesgo de enfermedad neurodegenerativa.</w:t>
      </w:r>
      <w:r w:rsidR="00844B6F" w:rsidRPr="007269CC">
        <w:rPr>
          <w:rFonts w:ascii="Times New Roman" w:hAnsi="Times New Roman" w:cs="Times New Roman"/>
          <w:sz w:val="24"/>
          <w:szCs w:val="24"/>
        </w:rPr>
        <w:t xml:space="preserve"> Por lo anterior, nace la siguiente pregunta de investigación: </w:t>
      </w:r>
      <w:r w:rsidR="00E45D2F" w:rsidRPr="007269CC">
        <w:rPr>
          <w:rFonts w:ascii="Times New Roman" w:hAnsi="Times New Roman" w:cs="Times New Roman"/>
          <w:sz w:val="24"/>
          <w:szCs w:val="24"/>
          <w:lang w:val="es-ES"/>
        </w:rPr>
        <w:t xml:space="preserve">¿Cuál es la influencia </w:t>
      </w:r>
      <w:r w:rsidR="00CD6046" w:rsidRPr="007269CC">
        <w:rPr>
          <w:rFonts w:ascii="Times New Roman" w:hAnsi="Times New Roman" w:cs="Times New Roman"/>
          <w:sz w:val="24"/>
          <w:szCs w:val="24"/>
          <w:lang w:val="es-ES"/>
        </w:rPr>
        <w:t>del microbiota intestinal</w:t>
      </w:r>
      <w:r w:rsidR="00E45D2F" w:rsidRPr="007269CC">
        <w:rPr>
          <w:rFonts w:ascii="Times New Roman" w:hAnsi="Times New Roman" w:cs="Times New Roman"/>
          <w:sz w:val="24"/>
          <w:szCs w:val="24"/>
          <w:lang w:val="es-ES"/>
        </w:rPr>
        <w:t xml:space="preserve"> en la salud neurológica y en el desarrollo de enfermedades neurodegenerativas, según la evidencia científica publicada entre 2020 y 2025?</w:t>
      </w:r>
    </w:p>
    <w:p w14:paraId="35E8DB01" w14:textId="77777777" w:rsidR="00584171" w:rsidRPr="003013DE" w:rsidRDefault="00584171">
      <w:pPr>
        <w:rPr>
          <w:rFonts w:ascii="Times New Roman" w:hAnsi="Times New Roman" w:cs="Times New Roman"/>
          <w:b/>
          <w:bCs/>
          <w:sz w:val="24"/>
          <w:szCs w:val="24"/>
          <w:lang w:val="es-ES"/>
        </w:rPr>
      </w:pPr>
      <w:r w:rsidRPr="003013DE">
        <w:rPr>
          <w:rFonts w:ascii="Times New Roman" w:hAnsi="Times New Roman" w:cs="Times New Roman"/>
          <w:b/>
          <w:bCs/>
          <w:sz w:val="24"/>
          <w:szCs w:val="24"/>
          <w:lang w:val="es-ES"/>
        </w:rPr>
        <w:br w:type="page"/>
      </w:r>
    </w:p>
    <w:p w14:paraId="05B6A173" w14:textId="4A5C6BE1" w:rsidR="0008506B" w:rsidRPr="003013DE" w:rsidRDefault="007B051C" w:rsidP="0008506B">
      <w:pPr>
        <w:pStyle w:val="Ttulo1"/>
        <w:numPr>
          <w:ilvl w:val="1"/>
          <w:numId w:val="10"/>
        </w:numPr>
        <w:rPr>
          <w:rFonts w:cs="Times New Roman"/>
          <w:bCs/>
          <w:color w:val="auto"/>
          <w:szCs w:val="24"/>
          <w:lang w:val="es-ES"/>
        </w:rPr>
      </w:pPr>
      <w:bookmarkStart w:id="13" w:name="_Toc223177112"/>
      <w:r w:rsidRPr="003013DE">
        <w:rPr>
          <w:rFonts w:cs="Times New Roman"/>
          <w:bCs/>
          <w:color w:val="auto"/>
          <w:szCs w:val="24"/>
          <w:lang w:val="es-ES"/>
        </w:rPr>
        <w:lastRenderedPageBreak/>
        <w:t>Objetivos</w:t>
      </w:r>
      <w:bookmarkEnd w:id="13"/>
    </w:p>
    <w:p w14:paraId="296C61D7" w14:textId="0B1EBD20" w:rsidR="007B0F37" w:rsidRPr="003013DE" w:rsidRDefault="007B051C" w:rsidP="0008506B">
      <w:pPr>
        <w:pStyle w:val="Ttulo1"/>
        <w:numPr>
          <w:ilvl w:val="2"/>
          <w:numId w:val="10"/>
        </w:numPr>
        <w:rPr>
          <w:rFonts w:cs="Times New Roman"/>
          <w:b w:val="0"/>
          <w:bCs/>
          <w:color w:val="auto"/>
          <w:szCs w:val="24"/>
          <w:lang w:val="es-ES"/>
        </w:rPr>
      </w:pPr>
      <w:bookmarkStart w:id="14" w:name="_Toc223177113"/>
      <w:r w:rsidRPr="003013DE">
        <w:rPr>
          <w:rFonts w:cs="Times New Roman"/>
          <w:bCs/>
          <w:color w:val="auto"/>
          <w:szCs w:val="24"/>
          <w:lang w:val="es-ES"/>
        </w:rPr>
        <w:t>Objetivo general</w:t>
      </w:r>
      <w:bookmarkEnd w:id="14"/>
    </w:p>
    <w:p w14:paraId="7D52FFE0" w14:textId="1E3FA715" w:rsidR="007B0F37" w:rsidRPr="003013DE" w:rsidRDefault="007B0F37" w:rsidP="007B0F37">
      <w:pPr>
        <w:pStyle w:val="Textocomentario"/>
        <w:numPr>
          <w:ilvl w:val="0"/>
          <w:numId w:val="6"/>
        </w:num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bdr w:val="none" w:sz="0" w:space="0" w:color="auto" w:frame="1"/>
        </w:rPr>
        <w:t xml:space="preserve">Analizar la evidencia científica publicada entre 2020 y 2025 sobre el papel </w:t>
      </w:r>
      <w:r w:rsidR="00A57061" w:rsidRPr="003013DE">
        <w:rPr>
          <w:rFonts w:ascii="Times New Roman" w:eastAsia="Times New Roman" w:hAnsi="Times New Roman" w:cs="Times New Roman"/>
          <w:sz w:val="24"/>
          <w:szCs w:val="24"/>
          <w:bdr w:val="none" w:sz="0" w:space="0" w:color="auto" w:frame="1"/>
        </w:rPr>
        <w:t>del microbiota intestinal</w:t>
      </w:r>
      <w:r w:rsidRPr="003013DE">
        <w:rPr>
          <w:rFonts w:ascii="Times New Roman" w:eastAsia="Times New Roman" w:hAnsi="Times New Roman" w:cs="Times New Roman"/>
          <w:sz w:val="24"/>
          <w:szCs w:val="24"/>
          <w:bdr w:val="none" w:sz="0" w:space="0" w:color="auto" w:frame="1"/>
        </w:rPr>
        <w:t xml:space="preserve"> en la salud neurológica y su relación con enfermedades neurodegenerativas.</w:t>
      </w:r>
    </w:p>
    <w:p w14:paraId="1F4B653A" w14:textId="0B14CEE2" w:rsidR="000156EA" w:rsidRPr="003013DE" w:rsidRDefault="0008506B" w:rsidP="0008506B">
      <w:pPr>
        <w:pStyle w:val="Ttulo2"/>
        <w:rPr>
          <w:rFonts w:ascii="Times New Roman" w:hAnsi="Times New Roman" w:cs="Times New Roman"/>
          <w:b/>
          <w:bCs/>
          <w:color w:val="auto"/>
          <w:sz w:val="24"/>
          <w:szCs w:val="24"/>
          <w:lang w:val="es-ES"/>
        </w:rPr>
      </w:pPr>
      <w:bookmarkStart w:id="15" w:name="_Toc223177114"/>
      <w:r w:rsidRPr="003013DE">
        <w:rPr>
          <w:rFonts w:ascii="Times New Roman" w:hAnsi="Times New Roman" w:cs="Times New Roman"/>
          <w:b/>
          <w:bCs/>
          <w:color w:val="auto"/>
          <w:sz w:val="24"/>
          <w:szCs w:val="24"/>
          <w:lang w:val="es-ES"/>
        </w:rPr>
        <w:t xml:space="preserve">1.3.1 </w:t>
      </w:r>
      <w:r w:rsidR="007B051C" w:rsidRPr="003013DE">
        <w:rPr>
          <w:rFonts w:ascii="Times New Roman" w:hAnsi="Times New Roman" w:cs="Times New Roman"/>
          <w:b/>
          <w:bCs/>
          <w:color w:val="auto"/>
          <w:sz w:val="24"/>
          <w:szCs w:val="24"/>
          <w:lang w:val="es-ES"/>
        </w:rPr>
        <w:t>Objetivos específicos</w:t>
      </w:r>
      <w:bookmarkEnd w:id="15"/>
    </w:p>
    <w:p w14:paraId="11E0F14B" w14:textId="1B55473E" w:rsidR="000156EA" w:rsidRPr="003013DE" w:rsidRDefault="000156EA" w:rsidP="000156EA">
      <w:pPr>
        <w:pStyle w:val="Textocomentario"/>
        <w:numPr>
          <w:ilvl w:val="0"/>
          <w:numId w:val="6"/>
        </w:num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lang w:eastAsia="es-ES"/>
        </w:rPr>
        <w:t>Describir los principales mecanismos del eje intestino–</w:t>
      </w:r>
      <w:r w:rsidR="00A57061" w:rsidRPr="003013DE">
        <w:rPr>
          <w:rFonts w:ascii="Times New Roman" w:eastAsia="Times New Roman" w:hAnsi="Times New Roman" w:cs="Times New Roman"/>
          <w:sz w:val="24"/>
          <w:szCs w:val="24"/>
          <w:lang w:eastAsia="es-ES"/>
        </w:rPr>
        <w:t>cerebros implicados</w:t>
      </w:r>
      <w:r w:rsidRPr="003013DE">
        <w:rPr>
          <w:rFonts w:ascii="Times New Roman" w:eastAsia="Times New Roman" w:hAnsi="Times New Roman" w:cs="Times New Roman"/>
          <w:sz w:val="24"/>
          <w:szCs w:val="24"/>
          <w:lang w:eastAsia="es-ES"/>
        </w:rPr>
        <w:t xml:space="preserve"> en el desarrollo y progresión de enfermedades neurodegenerativas.</w:t>
      </w:r>
    </w:p>
    <w:p w14:paraId="7543A102" w14:textId="77777777" w:rsidR="000156EA" w:rsidRPr="003013DE" w:rsidRDefault="000156EA" w:rsidP="000156EA">
      <w:pPr>
        <w:pStyle w:val="Textocomentario"/>
        <w:numPr>
          <w:ilvl w:val="0"/>
          <w:numId w:val="6"/>
        </w:num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lang w:eastAsia="es-ES"/>
        </w:rPr>
        <w:t>Identificar la relación entre alteraciones de la microbiota intestinal y patologías neurodegenerativas como Alzheimer, Parkinson y esclerosis múltiple.</w:t>
      </w:r>
    </w:p>
    <w:p w14:paraId="53130F2C" w14:textId="23EE7338" w:rsidR="000156EA" w:rsidRPr="003013DE" w:rsidRDefault="000156EA" w:rsidP="000156EA">
      <w:pPr>
        <w:pStyle w:val="Textocomentario"/>
        <w:numPr>
          <w:ilvl w:val="0"/>
          <w:numId w:val="6"/>
        </w:num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lang w:eastAsia="es-ES"/>
        </w:rPr>
        <w:t xml:space="preserve">Revisar críticamente las intervenciones terapéuticas dirigidas a modular </w:t>
      </w:r>
      <w:r w:rsidR="00A57061" w:rsidRPr="003013DE">
        <w:rPr>
          <w:rFonts w:ascii="Times New Roman" w:eastAsia="Times New Roman" w:hAnsi="Times New Roman" w:cs="Times New Roman"/>
          <w:sz w:val="24"/>
          <w:szCs w:val="24"/>
          <w:lang w:eastAsia="es-ES"/>
        </w:rPr>
        <w:t>el microbiota intestinal</w:t>
      </w:r>
      <w:r w:rsidRPr="003013DE">
        <w:rPr>
          <w:rFonts w:ascii="Times New Roman" w:eastAsia="Times New Roman" w:hAnsi="Times New Roman" w:cs="Times New Roman"/>
          <w:sz w:val="24"/>
          <w:szCs w:val="24"/>
          <w:lang w:eastAsia="es-ES"/>
        </w:rPr>
        <w:t xml:space="preserve"> y su impacto en la salud neurológica.</w:t>
      </w:r>
    </w:p>
    <w:p w14:paraId="1D058B38" w14:textId="41267773" w:rsidR="00584171" w:rsidRPr="003013DE" w:rsidRDefault="00584171">
      <w:pPr>
        <w:rPr>
          <w:rFonts w:ascii="Times New Roman" w:hAnsi="Times New Roman" w:cs="Times New Roman"/>
          <w:sz w:val="24"/>
          <w:szCs w:val="24"/>
          <w:lang w:val="es-ES"/>
        </w:rPr>
      </w:pPr>
      <w:r w:rsidRPr="003013DE">
        <w:rPr>
          <w:rFonts w:ascii="Times New Roman" w:hAnsi="Times New Roman" w:cs="Times New Roman"/>
          <w:sz w:val="24"/>
          <w:szCs w:val="24"/>
          <w:lang w:val="es-ES"/>
        </w:rPr>
        <w:br w:type="page"/>
      </w:r>
    </w:p>
    <w:p w14:paraId="256673E7" w14:textId="5DD811B7" w:rsidR="007B051C" w:rsidRPr="003013DE" w:rsidRDefault="007B051C" w:rsidP="0008506B">
      <w:pPr>
        <w:pStyle w:val="Textocomentario"/>
        <w:numPr>
          <w:ilvl w:val="1"/>
          <w:numId w:val="1"/>
        </w:numPr>
        <w:spacing w:line="360" w:lineRule="auto"/>
        <w:jc w:val="both"/>
        <w:outlineLvl w:val="0"/>
        <w:rPr>
          <w:rFonts w:ascii="Times New Roman" w:hAnsi="Times New Roman" w:cs="Times New Roman"/>
          <w:b/>
          <w:bCs/>
          <w:sz w:val="24"/>
          <w:szCs w:val="24"/>
          <w:lang w:val="es-ES"/>
        </w:rPr>
      </w:pPr>
      <w:bookmarkStart w:id="16" w:name="_Toc223177115"/>
      <w:r w:rsidRPr="003013DE">
        <w:rPr>
          <w:rFonts w:ascii="Times New Roman" w:hAnsi="Times New Roman" w:cs="Times New Roman"/>
          <w:b/>
          <w:bCs/>
          <w:sz w:val="24"/>
          <w:szCs w:val="24"/>
          <w:lang w:val="es-ES"/>
        </w:rPr>
        <w:lastRenderedPageBreak/>
        <w:t>Justificación</w:t>
      </w:r>
      <w:bookmarkEnd w:id="16"/>
    </w:p>
    <w:p w14:paraId="691E76A4" w14:textId="40D2C6D8" w:rsidR="001427A6" w:rsidRPr="00C614E0" w:rsidRDefault="007761B6" w:rsidP="007761B6">
      <w:pPr>
        <w:pStyle w:val="Piedepgina"/>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w:t>
      </w:r>
      <w:r w:rsidR="001B5FBD" w:rsidRPr="00C614E0">
        <w:rPr>
          <w:rFonts w:ascii="Times New Roman" w:hAnsi="Times New Roman" w:cs="Times New Roman"/>
          <w:sz w:val="24"/>
          <w:szCs w:val="24"/>
        </w:rPr>
        <w:t xml:space="preserve"> microbiota intestinal</w:t>
      </w:r>
      <w:r w:rsidR="001427A6" w:rsidRPr="00C614E0">
        <w:rPr>
          <w:rFonts w:ascii="Times New Roman" w:hAnsi="Times New Roman" w:cs="Times New Roman"/>
          <w:sz w:val="24"/>
          <w:szCs w:val="24"/>
        </w:rPr>
        <w:t xml:space="preserve"> en la salud neurológica representa un campo emergente de gran relevancia científica y clínica. La evidencia</w:t>
      </w:r>
      <w:r w:rsidR="009A7113" w:rsidRPr="00C614E0">
        <w:rPr>
          <w:rFonts w:ascii="Times New Roman" w:hAnsi="Times New Roman" w:cs="Times New Roman"/>
          <w:sz w:val="24"/>
          <w:szCs w:val="24"/>
        </w:rPr>
        <w:t xml:space="preserve"> científica</w:t>
      </w:r>
      <w:r w:rsidR="001427A6" w:rsidRPr="00C614E0">
        <w:rPr>
          <w:rFonts w:ascii="Times New Roman" w:hAnsi="Times New Roman" w:cs="Times New Roman"/>
          <w:sz w:val="24"/>
          <w:szCs w:val="24"/>
        </w:rPr>
        <w:t xml:space="preserve"> ha demostrado que </w:t>
      </w:r>
      <w:r w:rsidR="009A7113" w:rsidRPr="00C614E0">
        <w:rPr>
          <w:rFonts w:ascii="Times New Roman" w:hAnsi="Times New Roman" w:cs="Times New Roman"/>
          <w:sz w:val="24"/>
          <w:szCs w:val="24"/>
        </w:rPr>
        <w:t xml:space="preserve">existe una relación importante </w:t>
      </w:r>
      <w:r w:rsidR="007D51C9" w:rsidRPr="00C614E0">
        <w:rPr>
          <w:rFonts w:ascii="Times New Roman" w:hAnsi="Times New Roman" w:cs="Times New Roman"/>
          <w:sz w:val="24"/>
          <w:szCs w:val="24"/>
        </w:rPr>
        <w:t xml:space="preserve">entre </w:t>
      </w:r>
      <w:r w:rsidR="001427A6" w:rsidRPr="00C614E0">
        <w:rPr>
          <w:rFonts w:ascii="Times New Roman" w:hAnsi="Times New Roman" w:cs="Times New Roman"/>
          <w:sz w:val="24"/>
          <w:szCs w:val="24"/>
        </w:rPr>
        <w:t>el intestino</w:t>
      </w:r>
      <w:r w:rsidR="007D51C9" w:rsidRPr="00C614E0">
        <w:rPr>
          <w:rFonts w:ascii="Times New Roman" w:hAnsi="Times New Roman" w:cs="Times New Roman"/>
          <w:sz w:val="24"/>
          <w:szCs w:val="24"/>
        </w:rPr>
        <w:t xml:space="preserve"> y </w:t>
      </w:r>
      <w:r w:rsidR="001427A6" w:rsidRPr="00C614E0">
        <w:rPr>
          <w:rFonts w:ascii="Times New Roman" w:hAnsi="Times New Roman" w:cs="Times New Roman"/>
          <w:sz w:val="24"/>
          <w:szCs w:val="24"/>
        </w:rPr>
        <w:t xml:space="preserve">cerebro </w:t>
      </w:r>
      <w:r w:rsidR="007D51C9" w:rsidRPr="00C614E0">
        <w:rPr>
          <w:rFonts w:ascii="Times New Roman" w:hAnsi="Times New Roman" w:cs="Times New Roman"/>
          <w:sz w:val="24"/>
          <w:szCs w:val="24"/>
        </w:rPr>
        <w:t xml:space="preserve">debido a que </w:t>
      </w:r>
      <w:r w:rsidR="001427A6" w:rsidRPr="00C614E0">
        <w:rPr>
          <w:rFonts w:ascii="Times New Roman" w:hAnsi="Times New Roman" w:cs="Times New Roman"/>
          <w:sz w:val="24"/>
          <w:szCs w:val="24"/>
        </w:rPr>
        <w:t>los metabolitos microbianos, las citoquinas y los neurotransmisores interactúan de manera estrecha con el sistema nervioso central (SNC), modulando funciones cognitivas, emocionales y de neuroprotección</w:t>
      </w:r>
      <w:r w:rsidR="001A6956" w:rsidRPr="00C614E0">
        <w:rPr>
          <w:rFonts w:ascii="Times New Roman" w:hAnsi="Times New Roman" w:cs="Times New Roman"/>
          <w:sz w:val="24"/>
          <w:szCs w:val="24"/>
          <w:vertAlign w:val="superscript"/>
        </w:rPr>
        <w:t>7</w:t>
      </w:r>
      <w:r w:rsidR="001427A6" w:rsidRPr="00C614E0">
        <w:rPr>
          <w:rFonts w:ascii="Times New Roman" w:hAnsi="Times New Roman" w:cs="Times New Roman"/>
          <w:sz w:val="24"/>
          <w:szCs w:val="24"/>
        </w:rPr>
        <w:t>. Este vínculo cobra particular importancia en el abordaje de enfermedades neurodegenerativas, tales como el Alzheimer, el Parkinson y la esclerosis múltiple, que representan un desafío global debido a su alta prevalencia y al impacto sobre la calidad de vida</w:t>
      </w:r>
      <w:r w:rsidR="001A6956" w:rsidRPr="00C614E0">
        <w:rPr>
          <w:rFonts w:ascii="Times New Roman" w:hAnsi="Times New Roman" w:cs="Times New Roman"/>
          <w:sz w:val="24"/>
          <w:szCs w:val="24"/>
          <w:vertAlign w:val="superscript"/>
        </w:rPr>
        <w:t>8</w:t>
      </w:r>
      <w:r w:rsidR="001A6956" w:rsidRPr="00C614E0">
        <w:rPr>
          <w:rFonts w:ascii="Times New Roman" w:hAnsi="Times New Roman" w:cs="Times New Roman"/>
          <w:sz w:val="24"/>
          <w:szCs w:val="24"/>
        </w:rPr>
        <w:t>.</w:t>
      </w:r>
    </w:p>
    <w:p w14:paraId="6E0584E9"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50BA693D" w14:textId="7123306C" w:rsidR="001427A6" w:rsidRPr="00C614E0" w:rsidRDefault="00E76173"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E</w:t>
      </w:r>
      <w:r w:rsidR="001427A6" w:rsidRPr="00C614E0">
        <w:rPr>
          <w:rFonts w:ascii="Times New Roman" w:hAnsi="Times New Roman" w:cs="Times New Roman"/>
          <w:sz w:val="24"/>
          <w:szCs w:val="24"/>
        </w:rPr>
        <w:t xml:space="preserve">sta revisión </w:t>
      </w:r>
      <w:r w:rsidRPr="00C614E0">
        <w:rPr>
          <w:rFonts w:ascii="Times New Roman" w:hAnsi="Times New Roman" w:cs="Times New Roman"/>
          <w:sz w:val="24"/>
          <w:szCs w:val="24"/>
        </w:rPr>
        <w:t xml:space="preserve">bibliográfica plantea como justificación </w:t>
      </w:r>
      <w:r w:rsidR="001427A6" w:rsidRPr="00C614E0">
        <w:rPr>
          <w:rFonts w:ascii="Times New Roman" w:hAnsi="Times New Roman" w:cs="Times New Roman"/>
          <w:sz w:val="24"/>
          <w:szCs w:val="24"/>
        </w:rPr>
        <w:t xml:space="preserve">la necesidad de profundizar en la comprensión de los mecanismos mediante los cuales </w:t>
      </w:r>
      <w:r w:rsidRPr="00C614E0">
        <w:rPr>
          <w:rFonts w:ascii="Times New Roman" w:hAnsi="Times New Roman" w:cs="Times New Roman"/>
          <w:sz w:val="24"/>
          <w:szCs w:val="24"/>
        </w:rPr>
        <w:t>el microbiota intestinal</w:t>
      </w:r>
      <w:r w:rsidR="001427A6" w:rsidRPr="00C614E0">
        <w:rPr>
          <w:rFonts w:ascii="Times New Roman" w:hAnsi="Times New Roman" w:cs="Times New Roman"/>
          <w:sz w:val="24"/>
          <w:szCs w:val="24"/>
        </w:rPr>
        <w:t xml:space="preserve"> puede influir en el desarrollo y la progresión de dichas patologías. </w:t>
      </w:r>
      <w:r w:rsidR="00584171" w:rsidRPr="00C614E0">
        <w:rPr>
          <w:rFonts w:ascii="Times New Roman" w:hAnsi="Times New Roman" w:cs="Times New Roman"/>
          <w:sz w:val="24"/>
          <w:szCs w:val="24"/>
        </w:rPr>
        <w:t>En relación con</w:t>
      </w:r>
      <w:r w:rsidR="008226D1" w:rsidRPr="00C614E0">
        <w:rPr>
          <w:rFonts w:ascii="Times New Roman" w:hAnsi="Times New Roman" w:cs="Times New Roman"/>
          <w:sz w:val="24"/>
          <w:szCs w:val="24"/>
        </w:rPr>
        <w:t xml:space="preserve"> lo anterior, se ha </w:t>
      </w:r>
      <w:r w:rsidR="001427A6" w:rsidRPr="00C614E0">
        <w:rPr>
          <w:rFonts w:ascii="Times New Roman" w:hAnsi="Times New Roman" w:cs="Times New Roman"/>
          <w:sz w:val="24"/>
          <w:szCs w:val="24"/>
        </w:rPr>
        <w:t xml:space="preserve">señalado que la disbiosis intestinal caracterizada por la pérdida de diversidad bacteriana, el incremento de cepas proinflamatorias y la reducción de especies con funciones </w:t>
      </w:r>
      <w:r w:rsidR="008226D1" w:rsidRPr="00C614E0">
        <w:rPr>
          <w:rFonts w:ascii="Times New Roman" w:hAnsi="Times New Roman" w:cs="Times New Roman"/>
          <w:sz w:val="24"/>
          <w:szCs w:val="24"/>
        </w:rPr>
        <w:t>protectoras se</w:t>
      </w:r>
      <w:r w:rsidR="001427A6" w:rsidRPr="00C614E0">
        <w:rPr>
          <w:rFonts w:ascii="Times New Roman" w:hAnsi="Times New Roman" w:cs="Times New Roman"/>
          <w:sz w:val="24"/>
          <w:szCs w:val="24"/>
        </w:rPr>
        <w:t xml:space="preserve"> asocia con procesos de neuroinflamación y neurodegeneración</w:t>
      </w:r>
      <w:r w:rsidR="001A6956" w:rsidRPr="00C614E0">
        <w:rPr>
          <w:rFonts w:ascii="Times New Roman" w:hAnsi="Times New Roman" w:cs="Times New Roman"/>
          <w:sz w:val="24"/>
          <w:szCs w:val="24"/>
        </w:rPr>
        <w:t>.</w:t>
      </w:r>
      <w:r w:rsidR="00DC7A63" w:rsidRPr="00C614E0">
        <w:rPr>
          <w:rFonts w:ascii="Times New Roman" w:hAnsi="Times New Roman" w:cs="Times New Roman"/>
          <w:sz w:val="24"/>
          <w:szCs w:val="24"/>
        </w:rPr>
        <w:t xml:space="preserve"> </w:t>
      </w:r>
      <w:r w:rsidR="001427A6" w:rsidRPr="00C614E0">
        <w:rPr>
          <w:rFonts w:ascii="Times New Roman" w:hAnsi="Times New Roman" w:cs="Times New Roman"/>
          <w:sz w:val="24"/>
          <w:szCs w:val="24"/>
        </w:rPr>
        <w:t>Estos hallazgos abren la posibilidad de desarrollar estrategias terapéuticas basadas en la modulación del microbioma, como probióticos, prebióticos o intervenciones dietéticas</w:t>
      </w:r>
      <w:r w:rsidR="001A6956" w:rsidRPr="00C614E0">
        <w:rPr>
          <w:rFonts w:ascii="Times New Roman" w:hAnsi="Times New Roman" w:cs="Times New Roman"/>
          <w:sz w:val="24"/>
          <w:szCs w:val="24"/>
          <w:vertAlign w:val="superscript"/>
        </w:rPr>
        <w:t>9</w:t>
      </w:r>
      <w:r w:rsidR="001427A6" w:rsidRPr="00C614E0">
        <w:rPr>
          <w:rFonts w:ascii="Times New Roman" w:hAnsi="Times New Roman" w:cs="Times New Roman"/>
          <w:sz w:val="24"/>
          <w:szCs w:val="24"/>
        </w:rPr>
        <w:t>.</w:t>
      </w:r>
    </w:p>
    <w:p w14:paraId="0628DE77"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1A642613" w14:textId="64C8CB37" w:rsidR="001427A6" w:rsidRPr="00C614E0" w:rsidRDefault="005116F3"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Por otra parte, desde </w:t>
      </w:r>
      <w:r w:rsidR="001427A6" w:rsidRPr="00C614E0">
        <w:rPr>
          <w:rFonts w:ascii="Times New Roman" w:hAnsi="Times New Roman" w:cs="Times New Roman"/>
          <w:sz w:val="24"/>
          <w:szCs w:val="24"/>
        </w:rPr>
        <w:t>la perspectiva de salud pública, resulta fundamental destacar que la prevalencia de enfermedades neurodegenerativas está en aumento a nivel mundial debido al envejecimiento poblacional. La Organización Mundial de la Salud estima que la demencia afectará a más de 78 millones de personas para el año 2030, con un incremento significativo en países de ingresos medios y bajos, donde los sistemas de salud enfrentan limitaciones para responder de manera adecuada</w:t>
      </w:r>
      <w:r w:rsidR="005F1B4E" w:rsidRPr="00C614E0">
        <w:rPr>
          <w:rFonts w:ascii="Times New Roman" w:hAnsi="Times New Roman" w:cs="Times New Roman"/>
          <w:sz w:val="24"/>
          <w:szCs w:val="24"/>
          <w:vertAlign w:val="superscript"/>
        </w:rPr>
        <w:t>10</w:t>
      </w:r>
      <w:r w:rsidR="005F1B4E" w:rsidRPr="00C614E0">
        <w:rPr>
          <w:rFonts w:ascii="Times New Roman" w:hAnsi="Times New Roman" w:cs="Times New Roman"/>
          <w:sz w:val="24"/>
          <w:szCs w:val="24"/>
        </w:rPr>
        <w:t xml:space="preserve">. </w:t>
      </w:r>
      <w:r w:rsidR="001427A6" w:rsidRPr="00C614E0">
        <w:rPr>
          <w:rFonts w:ascii="Times New Roman" w:hAnsi="Times New Roman" w:cs="Times New Roman"/>
          <w:sz w:val="24"/>
          <w:szCs w:val="24"/>
        </w:rPr>
        <w:t xml:space="preserve"> En este contexto, el estudio </w:t>
      </w:r>
      <w:r w:rsidR="00904920" w:rsidRPr="00C614E0">
        <w:rPr>
          <w:rFonts w:ascii="Times New Roman" w:hAnsi="Times New Roman" w:cs="Times New Roman"/>
          <w:sz w:val="24"/>
          <w:szCs w:val="24"/>
        </w:rPr>
        <w:t>del microbiota intestinal</w:t>
      </w:r>
      <w:r w:rsidR="001427A6" w:rsidRPr="00C614E0">
        <w:rPr>
          <w:rFonts w:ascii="Times New Roman" w:hAnsi="Times New Roman" w:cs="Times New Roman"/>
          <w:sz w:val="24"/>
          <w:szCs w:val="24"/>
        </w:rPr>
        <w:t xml:space="preserve"> se convierte en un</w:t>
      </w:r>
      <w:r w:rsidR="004250D2" w:rsidRPr="00C614E0">
        <w:rPr>
          <w:rFonts w:ascii="Times New Roman" w:hAnsi="Times New Roman" w:cs="Times New Roman"/>
          <w:sz w:val="24"/>
          <w:szCs w:val="24"/>
        </w:rPr>
        <w:t xml:space="preserve"> aspecto</w:t>
      </w:r>
      <w:r w:rsidR="001427A6" w:rsidRPr="00C614E0">
        <w:rPr>
          <w:rFonts w:ascii="Times New Roman" w:hAnsi="Times New Roman" w:cs="Times New Roman"/>
          <w:sz w:val="24"/>
          <w:szCs w:val="24"/>
        </w:rPr>
        <w:t xml:space="preserve"> innovador que no solo ofrece un marco explicativo de la fisiopatología, sino también nuevas vías de prevención y tratamiento.</w:t>
      </w:r>
    </w:p>
    <w:p w14:paraId="233A729B" w14:textId="77777777" w:rsidR="007761B6" w:rsidRDefault="007761B6" w:rsidP="00A75C20">
      <w:pPr>
        <w:pStyle w:val="Piedepgina"/>
        <w:spacing w:line="360" w:lineRule="auto"/>
        <w:ind w:firstLine="708"/>
        <w:jc w:val="both"/>
        <w:rPr>
          <w:rFonts w:ascii="Times New Roman" w:hAnsi="Times New Roman" w:cs="Times New Roman"/>
          <w:sz w:val="24"/>
          <w:szCs w:val="24"/>
        </w:rPr>
      </w:pPr>
    </w:p>
    <w:p w14:paraId="5F99DF0E" w14:textId="68EB3AC4" w:rsidR="001056B2" w:rsidRPr="00C614E0" w:rsidRDefault="00936D4C" w:rsidP="00A75C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De acuerdo a lo anterior, se </w:t>
      </w:r>
      <w:r w:rsidR="00A75C20" w:rsidRPr="00C614E0">
        <w:rPr>
          <w:rFonts w:ascii="Times New Roman" w:hAnsi="Times New Roman" w:cs="Times New Roman"/>
          <w:sz w:val="24"/>
          <w:szCs w:val="24"/>
        </w:rPr>
        <w:t xml:space="preserve">evidencia la urgente necesidad de replantear los enfoques tradicionales de la salud neurológica desde una visión integral que incorpore la interacción entre el sistema nervioso central y factores biológicos externos, como </w:t>
      </w:r>
      <w:r w:rsidR="001056B2" w:rsidRPr="00C614E0">
        <w:rPr>
          <w:rFonts w:ascii="Times New Roman" w:hAnsi="Times New Roman" w:cs="Times New Roman"/>
          <w:sz w:val="24"/>
          <w:szCs w:val="24"/>
        </w:rPr>
        <w:t>el microbiota intestinal</w:t>
      </w:r>
      <w:r w:rsidR="00A75C20" w:rsidRPr="00C614E0">
        <w:rPr>
          <w:rFonts w:ascii="Times New Roman" w:hAnsi="Times New Roman" w:cs="Times New Roman"/>
          <w:sz w:val="24"/>
          <w:szCs w:val="24"/>
        </w:rPr>
        <w:t xml:space="preserve">. </w:t>
      </w:r>
      <w:r w:rsidR="00A75C20" w:rsidRPr="00C614E0">
        <w:rPr>
          <w:rFonts w:ascii="Times New Roman" w:hAnsi="Times New Roman" w:cs="Times New Roman"/>
          <w:sz w:val="24"/>
          <w:szCs w:val="24"/>
        </w:rPr>
        <w:lastRenderedPageBreak/>
        <w:t xml:space="preserve">El reconocimiento del microbioma como un componente modulador clave en los procesos neuroinflamatorios, metabólicos y cognitivos representa un cambio paradigmático en la comprensión de las enfermedades neurodegenerativas. </w:t>
      </w:r>
    </w:p>
    <w:p w14:paraId="2D6FFDC8" w14:textId="77777777" w:rsidR="007761B6" w:rsidRDefault="007761B6" w:rsidP="00A75C20">
      <w:pPr>
        <w:pStyle w:val="Piedepgina"/>
        <w:spacing w:line="360" w:lineRule="auto"/>
        <w:ind w:firstLine="708"/>
        <w:jc w:val="both"/>
        <w:rPr>
          <w:rFonts w:ascii="Times New Roman" w:hAnsi="Times New Roman" w:cs="Times New Roman"/>
          <w:sz w:val="24"/>
          <w:szCs w:val="24"/>
        </w:rPr>
      </w:pPr>
    </w:p>
    <w:p w14:paraId="7F263478" w14:textId="144B7263" w:rsidR="00A75C20" w:rsidRPr="00C614E0" w:rsidRDefault="001056B2" w:rsidP="00A75C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Tambien, es importante mencionar </w:t>
      </w:r>
      <w:r w:rsidR="00B631E0" w:rsidRPr="00C614E0">
        <w:rPr>
          <w:rFonts w:ascii="Times New Roman" w:hAnsi="Times New Roman" w:cs="Times New Roman"/>
          <w:sz w:val="24"/>
          <w:szCs w:val="24"/>
        </w:rPr>
        <w:t>s</w:t>
      </w:r>
      <w:r w:rsidRPr="00C614E0">
        <w:rPr>
          <w:rFonts w:ascii="Times New Roman" w:hAnsi="Times New Roman" w:cs="Times New Roman"/>
          <w:sz w:val="24"/>
          <w:szCs w:val="24"/>
        </w:rPr>
        <w:t xml:space="preserve"> en </w:t>
      </w:r>
      <w:r w:rsidR="00A75C20" w:rsidRPr="00C614E0">
        <w:rPr>
          <w:rFonts w:ascii="Times New Roman" w:hAnsi="Times New Roman" w:cs="Times New Roman"/>
          <w:sz w:val="24"/>
          <w:szCs w:val="24"/>
        </w:rPr>
        <w:t xml:space="preserve">regiones como América Latina, y particularmente en Costa Rica, donde la expectativa de vida está en aumento, este enfoque adquiere relevancia estratégica para el desarrollo de políticas de prevención basadas en la modulación del eje intestino-cerebro. De esta forma, la investigación sobre </w:t>
      </w:r>
      <w:r w:rsidRPr="00C614E0">
        <w:rPr>
          <w:rFonts w:ascii="Times New Roman" w:hAnsi="Times New Roman" w:cs="Times New Roman"/>
          <w:sz w:val="24"/>
          <w:szCs w:val="24"/>
        </w:rPr>
        <w:t>el microbiota</w:t>
      </w:r>
      <w:r w:rsidR="00A75C20" w:rsidRPr="00C614E0">
        <w:rPr>
          <w:rFonts w:ascii="Times New Roman" w:hAnsi="Times New Roman" w:cs="Times New Roman"/>
          <w:sz w:val="24"/>
          <w:szCs w:val="24"/>
        </w:rPr>
        <w:t xml:space="preserve"> no solo aporta al conocimiento científico, sino que también tiene implicaciones directas para el diseño de intervenciones dietéticas, terapéuticas y de salud pública orientadas a reducir la carga futura de enfermedades neurodegenerativas en la población adulta mayor.</w:t>
      </w:r>
    </w:p>
    <w:p w14:paraId="71B93281"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7D8D036C" w14:textId="3C67B5E0" w:rsidR="00821892" w:rsidRPr="00C614E0" w:rsidRDefault="004250D2"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Ahora bien, </w:t>
      </w:r>
      <w:r w:rsidR="00E30EF7" w:rsidRPr="00C614E0">
        <w:rPr>
          <w:rFonts w:ascii="Times New Roman" w:hAnsi="Times New Roman" w:cs="Times New Roman"/>
          <w:sz w:val="24"/>
          <w:szCs w:val="24"/>
        </w:rPr>
        <w:t>e</w:t>
      </w:r>
      <w:r w:rsidR="001427A6" w:rsidRPr="00C614E0">
        <w:rPr>
          <w:rFonts w:ascii="Times New Roman" w:hAnsi="Times New Roman" w:cs="Times New Roman"/>
          <w:sz w:val="24"/>
          <w:szCs w:val="24"/>
        </w:rPr>
        <w:t xml:space="preserve">n el caso de Costa Rica, </w:t>
      </w:r>
      <w:r w:rsidR="00C06620" w:rsidRPr="00C614E0">
        <w:rPr>
          <w:rFonts w:ascii="Times New Roman" w:hAnsi="Times New Roman" w:cs="Times New Roman"/>
          <w:sz w:val="24"/>
          <w:szCs w:val="24"/>
        </w:rPr>
        <w:t>e</w:t>
      </w:r>
      <w:r w:rsidR="00E26F93" w:rsidRPr="00C614E0">
        <w:rPr>
          <w:rFonts w:ascii="Times New Roman" w:hAnsi="Times New Roman" w:cs="Times New Roman"/>
          <w:sz w:val="24"/>
          <w:szCs w:val="24"/>
        </w:rPr>
        <w:t xml:space="preserve">l tema de la diobiosis o des balance de la flora intestinal </w:t>
      </w:r>
      <w:r w:rsidR="00D13A70" w:rsidRPr="00C614E0">
        <w:rPr>
          <w:rFonts w:ascii="Times New Roman" w:hAnsi="Times New Roman" w:cs="Times New Roman"/>
          <w:sz w:val="24"/>
          <w:szCs w:val="24"/>
        </w:rPr>
        <w:t xml:space="preserve">es relevante debido a las condiciones </w:t>
      </w:r>
      <w:r w:rsidR="001427A6" w:rsidRPr="00C614E0">
        <w:rPr>
          <w:rFonts w:ascii="Times New Roman" w:hAnsi="Times New Roman" w:cs="Times New Roman"/>
          <w:sz w:val="24"/>
          <w:szCs w:val="24"/>
        </w:rPr>
        <w:t>epidemiológicas y sociales del país</w:t>
      </w:r>
      <w:r w:rsidR="00C06620" w:rsidRPr="00C614E0">
        <w:rPr>
          <w:rFonts w:ascii="Times New Roman" w:hAnsi="Times New Roman" w:cs="Times New Roman"/>
          <w:sz w:val="24"/>
          <w:szCs w:val="24"/>
        </w:rPr>
        <w:t xml:space="preserve">; </w:t>
      </w:r>
      <w:r w:rsidR="00CA589B" w:rsidRPr="00C614E0">
        <w:rPr>
          <w:rFonts w:ascii="Times New Roman" w:hAnsi="Times New Roman" w:cs="Times New Roman"/>
          <w:sz w:val="24"/>
          <w:szCs w:val="24"/>
        </w:rPr>
        <w:t>la tasa de natalidad en el país a disminuido considerablemente en los últimos años</w:t>
      </w:r>
      <w:r w:rsidR="00841E37" w:rsidRPr="00C614E0">
        <w:rPr>
          <w:rFonts w:ascii="Times New Roman" w:hAnsi="Times New Roman" w:cs="Times New Roman"/>
          <w:sz w:val="24"/>
          <w:szCs w:val="24"/>
        </w:rPr>
        <w:t xml:space="preserve"> por lo tanto, </w:t>
      </w:r>
      <w:r w:rsidR="00C06620" w:rsidRPr="00C614E0">
        <w:rPr>
          <w:rFonts w:ascii="Times New Roman" w:hAnsi="Times New Roman" w:cs="Times New Roman"/>
          <w:sz w:val="24"/>
          <w:szCs w:val="24"/>
        </w:rPr>
        <w:t>el</w:t>
      </w:r>
      <w:r w:rsidR="001427A6" w:rsidRPr="00C614E0">
        <w:rPr>
          <w:rFonts w:ascii="Times New Roman" w:hAnsi="Times New Roman" w:cs="Times New Roman"/>
          <w:sz w:val="24"/>
          <w:szCs w:val="24"/>
        </w:rPr>
        <w:t xml:space="preserve"> progresivo envejecimiento poblacional que ha convertido a la nación en una de las más longevas de </w:t>
      </w:r>
      <w:r w:rsidR="00940B3A" w:rsidRPr="00C614E0">
        <w:rPr>
          <w:rFonts w:ascii="Times New Roman" w:hAnsi="Times New Roman" w:cs="Times New Roman"/>
          <w:sz w:val="24"/>
          <w:szCs w:val="24"/>
        </w:rPr>
        <w:t>Latinoamérica incrementa</w:t>
      </w:r>
      <w:r w:rsidR="001427A6" w:rsidRPr="00C614E0">
        <w:rPr>
          <w:rFonts w:ascii="Times New Roman" w:hAnsi="Times New Roman" w:cs="Times New Roman"/>
          <w:sz w:val="24"/>
          <w:szCs w:val="24"/>
        </w:rPr>
        <w:t xml:space="preserve"> la incidencia de enfermedades neurodegenerativas, especialmente en adultos mayores</w:t>
      </w:r>
      <w:r w:rsidR="005F1B4E" w:rsidRPr="00C614E0">
        <w:rPr>
          <w:rFonts w:ascii="Times New Roman" w:hAnsi="Times New Roman" w:cs="Times New Roman"/>
          <w:sz w:val="24"/>
          <w:szCs w:val="24"/>
          <w:vertAlign w:val="superscript"/>
        </w:rPr>
        <w:t>11</w:t>
      </w:r>
      <w:r w:rsidR="005F1B4E" w:rsidRPr="00C614E0">
        <w:rPr>
          <w:rFonts w:ascii="Times New Roman" w:hAnsi="Times New Roman" w:cs="Times New Roman"/>
          <w:sz w:val="24"/>
          <w:szCs w:val="24"/>
        </w:rPr>
        <w:t xml:space="preserve">. </w:t>
      </w:r>
      <w:r w:rsidR="001427A6" w:rsidRPr="00C614E0">
        <w:rPr>
          <w:rFonts w:ascii="Times New Roman" w:hAnsi="Times New Roman" w:cs="Times New Roman"/>
          <w:sz w:val="24"/>
          <w:szCs w:val="24"/>
        </w:rPr>
        <w:t xml:space="preserve"> </w:t>
      </w:r>
    </w:p>
    <w:p w14:paraId="15009DE0"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0F15635F" w14:textId="68D380C9" w:rsidR="001427A6" w:rsidRPr="00C614E0" w:rsidRDefault="001427A6"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Además, factores dietéticos y de estilo de vida característicos de la población costarricense, como el consumo tradicional de leguminosas, cereales integrales y frutas, podrían desempeñar un papel modulador sobre </w:t>
      </w:r>
      <w:r w:rsidR="00904920" w:rsidRPr="00C614E0">
        <w:rPr>
          <w:rFonts w:ascii="Times New Roman" w:hAnsi="Times New Roman" w:cs="Times New Roman"/>
          <w:sz w:val="24"/>
          <w:szCs w:val="24"/>
        </w:rPr>
        <w:t>el microbiota intestinal</w:t>
      </w:r>
      <w:r w:rsidR="00EE334F" w:rsidRPr="00C614E0">
        <w:rPr>
          <w:rFonts w:ascii="Times New Roman" w:hAnsi="Times New Roman" w:cs="Times New Roman"/>
          <w:sz w:val="24"/>
          <w:szCs w:val="24"/>
        </w:rPr>
        <w:t xml:space="preserve"> aunado a esto</w:t>
      </w:r>
      <w:r w:rsidRPr="00C614E0">
        <w:rPr>
          <w:rFonts w:ascii="Times New Roman" w:hAnsi="Times New Roman" w:cs="Times New Roman"/>
          <w:sz w:val="24"/>
          <w:szCs w:val="24"/>
        </w:rPr>
        <w:t>, la transición nutricional hacia dietas más procesadas y con alto contenido de grasas saturadas y azúcares representa un riesgo potencial que podría favorecer estados de disbiosis intestinal y aumentar la vulnerabilidad frente a patologías neurológicas</w:t>
      </w:r>
      <w:r w:rsidR="005F1B4E" w:rsidRPr="00C614E0">
        <w:rPr>
          <w:rFonts w:ascii="Times New Roman" w:hAnsi="Times New Roman" w:cs="Times New Roman"/>
          <w:sz w:val="24"/>
          <w:szCs w:val="24"/>
          <w:vertAlign w:val="superscript"/>
        </w:rPr>
        <w:t>12</w:t>
      </w:r>
      <w:r w:rsidRPr="00C614E0">
        <w:rPr>
          <w:rFonts w:ascii="Times New Roman" w:hAnsi="Times New Roman" w:cs="Times New Roman"/>
          <w:sz w:val="24"/>
          <w:szCs w:val="24"/>
        </w:rPr>
        <w:t>.</w:t>
      </w:r>
    </w:p>
    <w:p w14:paraId="70723398" w14:textId="77777777" w:rsidR="007761B6" w:rsidRDefault="007761B6" w:rsidP="003C73B9">
      <w:pPr>
        <w:pStyle w:val="Piedepgina"/>
        <w:spacing w:line="360" w:lineRule="auto"/>
        <w:ind w:firstLine="708"/>
        <w:jc w:val="both"/>
        <w:rPr>
          <w:rFonts w:ascii="Times New Roman" w:hAnsi="Times New Roman" w:cs="Times New Roman"/>
          <w:sz w:val="24"/>
          <w:szCs w:val="24"/>
        </w:rPr>
      </w:pPr>
    </w:p>
    <w:p w14:paraId="7B36E3B2" w14:textId="53B561B5" w:rsidR="003C73B9" w:rsidRPr="00C614E0" w:rsidRDefault="003C73B9" w:rsidP="003C73B9">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En este sentido, la situación demográfica de Costa Rica, marcada por el envejecimiento sostenido de su población, plantea un desafío significativo para el sistema de salud pública, que debe adaptarse a la creciente carga de enfermedades crónicas y neurodegenerativas. La disbiosis intestinal emerge como un factor de riesgo potencialmente modificable en este contexto, ya que el equilibrio </w:t>
      </w:r>
      <w:r w:rsidR="008F5472" w:rsidRPr="00C614E0">
        <w:rPr>
          <w:rFonts w:ascii="Times New Roman" w:hAnsi="Times New Roman" w:cs="Times New Roman"/>
          <w:sz w:val="24"/>
          <w:szCs w:val="24"/>
        </w:rPr>
        <w:t>del microbiota</w:t>
      </w:r>
      <w:r w:rsidRPr="00C614E0">
        <w:rPr>
          <w:rFonts w:ascii="Times New Roman" w:hAnsi="Times New Roman" w:cs="Times New Roman"/>
          <w:sz w:val="24"/>
          <w:szCs w:val="24"/>
        </w:rPr>
        <w:t xml:space="preserve"> se asocia directamente con </w:t>
      </w:r>
      <w:r w:rsidRPr="00C614E0">
        <w:rPr>
          <w:rFonts w:ascii="Times New Roman" w:hAnsi="Times New Roman" w:cs="Times New Roman"/>
          <w:sz w:val="24"/>
          <w:szCs w:val="24"/>
        </w:rPr>
        <w:lastRenderedPageBreak/>
        <w:t>procesos de inflamación sistémica, permeabilidad intestinal y respuesta inmune, todos ellos implicados en la progresión de patologías como el Alzheimer y el Parkinson. De este modo, comprender cómo las condiciones locales, los hábitos alimentarios y las características socioculturales influyen en la composición del microbioma intestinal puede ofrecer oportunidades valiosas para la prevención primaria y la detección temprana de estos trastornos.</w:t>
      </w:r>
    </w:p>
    <w:p w14:paraId="6A371697"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03CB3B1D" w14:textId="68323C10" w:rsidR="008F5472" w:rsidRPr="00C614E0" w:rsidRDefault="003C73B9"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Por otra parte, los cambios observados en los patrones de alimentación en Costa Rica, donde la dieta tradicional rica en fibra, antioxidantes y probióticos naturales ha sido progresivamente reemplazada por productos ultraprocesados y alimentos con bajo valor nutricional, reflejan una transición que podría tener consecuencias directas sobre la salud intestinal y, por extensión, neurológica. </w:t>
      </w:r>
    </w:p>
    <w:p w14:paraId="37686208"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7593AC6F" w14:textId="5E6A8475" w:rsidR="003C73B9" w:rsidRPr="00C614E0" w:rsidRDefault="003C73B9"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Esta tendencia subraya la importancia de promover estrategias nacionales de educación nutricional y de investigación científica que evalúen la relación entre dieta, microbiota y envejecimiento saludable. Integrar este enfoque en las políticas de salud pública permitiría no solo mitigar el impacto de la disbiosis intestinal, sino también fortalecer la capacidad del país para enfrentar el incremento proyectado de enfermedades neurodegenerativas en las próximas décadas.</w:t>
      </w:r>
    </w:p>
    <w:p w14:paraId="350FD6E9"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112693DE" w14:textId="3A85AB77" w:rsidR="003A58CB" w:rsidRPr="00C614E0" w:rsidRDefault="00E6736C"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A pesar </w:t>
      </w:r>
      <w:r w:rsidR="00830798" w:rsidRPr="00C614E0">
        <w:rPr>
          <w:rFonts w:ascii="Times New Roman" w:hAnsi="Times New Roman" w:cs="Times New Roman"/>
          <w:sz w:val="24"/>
          <w:szCs w:val="24"/>
        </w:rPr>
        <w:t xml:space="preserve">de </w:t>
      </w:r>
      <w:r w:rsidR="0074047B" w:rsidRPr="00C614E0">
        <w:rPr>
          <w:rFonts w:ascii="Times New Roman" w:hAnsi="Times New Roman" w:cs="Times New Roman"/>
          <w:sz w:val="24"/>
          <w:szCs w:val="24"/>
        </w:rPr>
        <w:t>que existen factores</w:t>
      </w:r>
      <w:r w:rsidR="00914DB4" w:rsidRPr="00C614E0">
        <w:rPr>
          <w:rFonts w:ascii="Times New Roman" w:hAnsi="Times New Roman" w:cs="Times New Roman"/>
          <w:sz w:val="24"/>
          <w:szCs w:val="24"/>
        </w:rPr>
        <w:t xml:space="preserve"> dietéticos </w:t>
      </w:r>
      <w:r w:rsidR="0074047B" w:rsidRPr="00C614E0">
        <w:rPr>
          <w:rFonts w:ascii="Times New Roman" w:hAnsi="Times New Roman" w:cs="Times New Roman"/>
          <w:sz w:val="24"/>
          <w:szCs w:val="24"/>
        </w:rPr>
        <w:t xml:space="preserve">en la población </w:t>
      </w:r>
      <w:r w:rsidR="00D95E46" w:rsidRPr="00C614E0">
        <w:rPr>
          <w:rFonts w:ascii="Times New Roman" w:hAnsi="Times New Roman" w:cs="Times New Roman"/>
          <w:sz w:val="24"/>
          <w:szCs w:val="24"/>
        </w:rPr>
        <w:t>costarricense</w:t>
      </w:r>
      <w:r w:rsidR="00914DB4" w:rsidRPr="00C614E0">
        <w:rPr>
          <w:rFonts w:ascii="Times New Roman" w:hAnsi="Times New Roman" w:cs="Times New Roman"/>
          <w:sz w:val="24"/>
          <w:szCs w:val="24"/>
        </w:rPr>
        <w:t xml:space="preserve"> </w:t>
      </w:r>
      <w:r w:rsidR="0074047B" w:rsidRPr="00C614E0">
        <w:rPr>
          <w:rFonts w:ascii="Times New Roman" w:hAnsi="Times New Roman" w:cs="Times New Roman"/>
          <w:sz w:val="24"/>
          <w:szCs w:val="24"/>
        </w:rPr>
        <w:t xml:space="preserve">que pueden suponer una modificación </w:t>
      </w:r>
      <w:r w:rsidR="00914DB4" w:rsidRPr="00C614E0">
        <w:rPr>
          <w:rFonts w:ascii="Times New Roman" w:hAnsi="Times New Roman" w:cs="Times New Roman"/>
          <w:sz w:val="24"/>
          <w:szCs w:val="24"/>
        </w:rPr>
        <w:t xml:space="preserve">en </w:t>
      </w:r>
      <w:r w:rsidR="004F3F3F" w:rsidRPr="00C614E0">
        <w:rPr>
          <w:rFonts w:ascii="Times New Roman" w:hAnsi="Times New Roman" w:cs="Times New Roman"/>
          <w:sz w:val="24"/>
          <w:szCs w:val="24"/>
        </w:rPr>
        <w:t>el microbiota intestinal</w:t>
      </w:r>
      <w:r w:rsidR="00914DB4" w:rsidRPr="00C614E0">
        <w:rPr>
          <w:rFonts w:ascii="Times New Roman" w:hAnsi="Times New Roman" w:cs="Times New Roman"/>
          <w:sz w:val="24"/>
          <w:szCs w:val="24"/>
        </w:rPr>
        <w:t xml:space="preserve"> y consigo </w:t>
      </w:r>
      <w:r w:rsidR="004F3F3F" w:rsidRPr="00C614E0">
        <w:rPr>
          <w:rFonts w:ascii="Times New Roman" w:hAnsi="Times New Roman" w:cs="Times New Roman"/>
          <w:sz w:val="24"/>
          <w:szCs w:val="24"/>
        </w:rPr>
        <w:t xml:space="preserve">aumentar la prevalencia de enfermedades neurodegenerativas la </w:t>
      </w:r>
      <w:r w:rsidR="001427A6" w:rsidRPr="00C614E0">
        <w:rPr>
          <w:rFonts w:ascii="Times New Roman" w:hAnsi="Times New Roman" w:cs="Times New Roman"/>
          <w:sz w:val="24"/>
          <w:szCs w:val="24"/>
        </w:rPr>
        <w:t>producción científica nacional en este campo aún es incipiente, lo que justifica la necesidad de desarrollar revisiones que recopilen y analicen la evidencia disponible entre 2020 y 2025, con el fin de generar un panorama actualizado que sirva como base para futuros estudios locales</w:t>
      </w:r>
      <w:r w:rsidR="00FE6E82" w:rsidRPr="00C614E0">
        <w:rPr>
          <w:rFonts w:ascii="Times New Roman" w:hAnsi="Times New Roman" w:cs="Times New Roman"/>
          <w:sz w:val="24"/>
          <w:szCs w:val="24"/>
          <w:vertAlign w:val="superscript"/>
        </w:rPr>
        <w:t>12</w:t>
      </w:r>
      <w:r w:rsidR="001427A6" w:rsidRPr="00C614E0">
        <w:rPr>
          <w:rFonts w:ascii="Times New Roman" w:hAnsi="Times New Roman" w:cs="Times New Roman"/>
          <w:sz w:val="24"/>
          <w:szCs w:val="24"/>
        </w:rPr>
        <w:t xml:space="preserve">. </w:t>
      </w:r>
    </w:p>
    <w:p w14:paraId="1843721C"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4291FD64" w14:textId="3BB48AF3" w:rsidR="001427A6" w:rsidRPr="00C614E0" w:rsidRDefault="001427A6"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Asimismo, una mejor comprensión de la relación entre microbiota y salud neurológica podría tener implicaciones para la implementación de políticas de prevención y promoción de la salud en Costa Rica, fomentando estrategias de alimentación saludable y el desarrollo de programas comunitarios enfocados en el envejecimiento activo y saludable</w:t>
      </w:r>
      <w:r w:rsidR="00C15D28" w:rsidRPr="00C614E0">
        <w:rPr>
          <w:rFonts w:ascii="Times New Roman" w:hAnsi="Times New Roman" w:cs="Times New Roman"/>
          <w:sz w:val="24"/>
          <w:szCs w:val="24"/>
        </w:rPr>
        <w:t xml:space="preserve">, </w:t>
      </w:r>
      <w:r w:rsidR="00C15D28" w:rsidRPr="00C614E0">
        <w:rPr>
          <w:rFonts w:ascii="Times New Roman" w:hAnsi="Times New Roman" w:cs="Times New Roman"/>
          <w:sz w:val="24"/>
          <w:szCs w:val="24"/>
        </w:rPr>
        <w:lastRenderedPageBreak/>
        <w:t xml:space="preserve">además, de educar a la población </w:t>
      </w:r>
      <w:r w:rsidR="00310382" w:rsidRPr="00C614E0">
        <w:rPr>
          <w:rFonts w:ascii="Times New Roman" w:hAnsi="Times New Roman" w:cs="Times New Roman"/>
          <w:sz w:val="24"/>
          <w:szCs w:val="24"/>
        </w:rPr>
        <w:t xml:space="preserve">en general sonríe la relevancia y el cuido de la </w:t>
      </w:r>
      <w:r w:rsidR="00B7383C" w:rsidRPr="00C614E0">
        <w:rPr>
          <w:rFonts w:ascii="Times New Roman" w:hAnsi="Times New Roman" w:cs="Times New Roman"/>
          <w:sz w:val="24"/>
          <w:szCs w:val="24"/>
        </w:rPr>
        <w:t>microbiota intestinal en pro de experimentar cambios positivos en su bienestar.</w:t>
      </w:r>
    </w:p>
    <w:p w14:paraId="57880EEF" w14:textId="77777777" w:rsidR="007761B6" w:rsidRDefault="007761B6" w:rsidP="00904920">
      <w:pPr>
        <w:pStyle w:val="Piedepgina"/>
        <w:spacing w:line="360" w:lineRule="auto"/>
        <w:ind w:firstLine="708"/>
        <w:jc w:val="both"/>
        <w:rPr>
          <w:rFonts w:ascii="Times New Roman" w:hAnsi="Times New Roman" w:cs="Times New Roman"/>
          <w:sz w:val="24"/>
          <w:szCs w:val="24"/>
        </w:rPr>
      </w:pPr>
    </w:p>
    <w:p w14:paraId="75B2C2E9" w14:textId="6E7D49E0" w:rsidR="001427A6" w:rsidRPr="00C614E0" w:rsidRDefault="001427A6" w:rsidP="00904920">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Por otra parte, </w:t>
      </w:r>
      <w:r w:rsidR="00454A21" w:rsidRPr="00C614E0">
        <w:rPr>
          <w:rFonts w:ascii="Times New Roman" w:hAnsi="Times New Roman" w:cs="Times New Roman"/>
          <w:sz w:val="24"/>
          <w:szCs w:val="24"/>
        </w:rPr>
        <w:t xml:space="preserve">es importante mencionar que </w:t>
      </w:r>
      <w:r w:rsidR="00A02911" w:rsidRPr="00C614E0">
        <w:rPr>
          <w:rFonts w:ascii="Times New Roman" w:hAnsi="Times New Roman" w:cs="Times New Roman"/>
          <w:sz w:val="24"/>
          <w:szCs w:val="24"/>
        </w:rPr>
        <w:t>a</w:t>
      </w:r>
      <w:r w:rsidRPr="00C614E0">
        <w:rPr>
          <w:rFonts w:ascii="Times New Roman" w:hAnsi="Times New Roman" w:cs="Times New Roman"/>
          <w:sz w:val="24"/>
          <w:szCs w:val="24"/>
        </w:rPr>
        <w:t xml:space="preserve">nálisis </w:t>
      </w:r>
      <w:r w:rsidR="00D95E46" w:rsidRPr="00C614E0">
        <w:rPr>
          <w:rFonts w:ascii="Times New Roman" w:hAnsi="Times New Roman" w:cs="Times New Roman"/>
          <w:sz w:val="24"/>
          <w:szCs w:val="24"/>
        </w:rPr>
        <w:t>del microbiota intestinal</w:t>
      </w:r>
      <w:r w:rsidRPr="00C614E0">
        <w:rPr>
          <w:rFonts w:ascii="Times New Roman" w:hAnsi="Times New Roman" w:cs="Times New Roman"/>
          <w:sz w:val="24"/>
          <w:szCs w:val="24"/>
        </w:rPr>
        <w:t xml:space="preserve"> y su influencia en enfermedades neurodegenerativas no solo compete a la medicina y la neurología, sino también a la nutrición, la microbiología, la psicología y las ciencias sociales, lo que enriquece el abordaje integral de los pacientes. En Costa Rica, donde los recursos en investigación biomédica son limitados, un esfuerzo conjunto entre distintas disciplinas y centros académicos puede contribuir al fortalecimiento de la producción científica y a la transferencia de conocimiento a la práctica clínica</w:t>
      </w:r>
      <w:r w:rsidR="00FE6E82" w:rsidRPr="00C614E0">
        <w:rPr>
          <w:rFonts w:ascii="Times New Roman" w:hAnsi="Times New Roman" w:cs="Times New Roman"/>
          <w:sz w:val="24"/>
          <w:szCs w:val="24"/>
          <w:vertAlign w:val="superscript"/>
        </w:rPr>
        <w:t>13</w:t>
      </w:r>
      <w:r w:rsidRPr="00C614E0">
        <w:rPr>
          <w:rFonts w:ascii="Times New Roman" w:hAnsi="Times New Roman" w:cs="Times New Roman"/>
          <w:sz w:val="24"/>
          <w:szCs w:val="24"/>
        </w:rPr>
        <w:t>.</w:t>
      </w:r>
    </w:p>
    <w:p w14:paraId="54BA3A19" w14:textId="77777777" w:rsidR="007761B6" w:rsidRDefault="007761B6" w:rsidP="00D95E46">
      <w:pPr>
        <w:pStyle w:val="Piedepgina"/>
        <w:spacing w:line="360" w:lineRule="auto"/>
        <w:ind w:firstLine="708"/>
        <w:jc w:val="both"/>
        <w:rPr>
          <w:rFonts w:ascii="Times New Roman" w:hAnsi="Times New Roman" w:cs="Times New Roman"/>
          <w:sz w:val="24"/>
          <w:szCs w:val="24"/>
        </w:rPr>
      </w:pPr>
    </w:p>
    <w:p w14:paraId="59383F0F" w14:textId="19B1CAB5" w:rsidR="001427A6" w:rsidRPr="00C614E0" w:rsidRDefault="001427A6" w:rsidP="00D95E46">
      <w:pPr>
        <w:pStyle w:val="Piedepgina"/>
        <w:spacing w:line="360" w:lineRule="auto"/>
        <w:ind w:firstLine="708"/>
        <w:jc w:val="both"/>
        <w:rPr>
          <w:rFonts w:ascii="Times New Roman" w:hAnsi="Times New Roman" w:cs="Times New Roman"/>
          <w:sz w:val="24"/>
          <w:szCs w:val="24"/>
        </w:rPr>
      </w:pPr>
      <w:r w:rsidRPr="00C614E0">
        <w:rPr>
          <w:rFonts w:ascii="Times New Roman" w:hAnsi="Times New Roman" w:cs="Times New Roman"/>
          <w:sz w:val="24"/>
          <w:szCs w:val="24"/>
        </w:rPr>
        <w:t xml:space="preserve">Finalmente, la revisión propuesta adquiere relevancia porque responde a la necesidad de plantear alternativas terapéuticas más seguras y accesibles. Los tratamientos farmacológicos disponibles para enfermedades como el Alzheimer o el Parkinson son limitados en eficacia y con frecuencia generan efectos secundarios. Por tanto, explorar </w:t>
      </w:r>
      <w:r w:rsidR="00131A2A" w:rsidRPr="00C614E0">
        <w:rPr>
          <w:rFonts w:ascii="Times New Roman" w:hAnsi="Times New Roman" w:cs="Times New Roman"/>
          <w:sz w:val="24"/>
          <w:szCs w:val="24"/>
        </w:rPr>
        <w:t xml:space="preserve">el microbiota intestinal </w:t>
      </w:r>
      <w:r w:rsidRPr="00C614E0">
        <w:rPr>
          <w:rFonts w:ascii="Times New Roman" w:hAnsi="Times New Roman" w:cs="Times New Roman"/>
          <w:sz w:val="24"/>
          <w:szCs w:val="24"/>
        </w:rPr>
        <w:t xml:space="preserve">como estrategia preventiva o complementaria puede ofrecer beneficios clínicos significativos y mejorar la calidad de vida de los pacientes. </w:t>
      </w:r>
      <w:r w:rsidR="00AA1D20" w:rsidRPr="00C614E0">
        <w:rPr>
          <w:rFonts w:ascii="Times New Roman" w:hAnsi="Times New Roman" w:cs="Times New Roman"/>
          <w:sz w:val="24"/>
          <w:szCs w:val="24"/>
        </w:rPr>
        <w:t xml:space="preserve">Además, se pretende </w:t>
      </w:r>
      <w:r w:rsidR="00D95E46" w:rsidRPr="00C614E0">
        <w:rPr>
          <w:rFonts w:ascii="Times New Roman" w:hAnsi="Times New Roman" w:cs="Times New Roman"/>
          <w:sz w:val="24"/>
          <w:szCs w:val="24"/>
        </w:rPr>
        <w:t xml:space="preserve">enfatizar en los </w:t>
      </w:r>
      <w:r w:rsidRPr="00C614E0">
        <w:rPr>
          <w:rFonts w:ascii="Times New Roman" w:hAnsi="Times New Roman" w:cs="Times New Roman"/>
          <w:sz w:val="24"/>
          <w:szCs w:val="24"/>
        </w:rPr>
        <w:t xml:space="preserve">enfoques innovadores que integren la biología de sistemas, la medicina personalizada y la realidad epidemiológica costarricense, posicionando a la investigación sobre </w:t>
      </w:r>
      <w:r w:rsidR="00D95E46" w:rsidRPr="00C614E0">
        <w:rPr>
          <w:rFonts w:ascii="Times New Roman" w:hAnsi="Times New Roman" w:cs="Times New Roman"/>
          <w:sz w:val="24"/>
          <w:szCs w:val="24"/>
        </w:rPr>
        <w:t>el microbiota intestinal</w:t>
      </w:r>
      <w:r w:rsidRPr="00C614E0">
        <w:rPr>
          <w:rFonts w:ascii="Times New Roman" w:hAnsi="Times New Roman" w:cs="Times New Roman"/>
          <w:sz w:val="24"/>
          <w:szCs w:val="24"/>
        </w:rPr>
        <w:t xml:space="preserve"> como una vía estratégica para enfrentar el reto de las enfermedades neurodegenerativas en el presente y futuro cercano.</w:t>
      </w:r>
    </w:p>
    <w:p w14:paraId="188FEC62" w14:textId="4F02845D" w:rsidR="00FE32A4" w:rsidRPr="003013DE" w:rsidRDefault="00FE32A4" w:rsidP="0008506B">
      <w:pPr>
        <w:pStyle w:val="Ttulo1"/>
        <w:numPr>
          <w:ilvl w:val="1"/>
          <w:numId w:val="1"/>
        </w:numPr>
        <w:rPr>
          <w:rFonts w:cs="Times New Roman"/>
          <w:bCs/>
          <w:color w:val="auto"/>
          <w:szCs w:val="24"/>
          <w:lang w:val="es-ES"/>
        </w:rPr>
      </w:pPr>
      <w:bookmarkStart w:id="17" w:name="_Toc223177116"/>
      <w:r w:rsidRPr="003013DE">
        <w:rPr>
          <w:rFonts w:cs="Times New Roman"/>
          <w:bCs/>
          <w:color w:val="auto"/>
          <w:szCs w:val="24"/>
          <w:lang w:val="es-ES"/>
        </w:rPr>
        <w:t>Antecedentes</w:t>
      </w:r>
      <w:bookmarkEnd w:id="17"/>
    </w:p>
    <w:p w14:paraId="05274804" w14:textId="77777777" w:rsidR="0008506B" w:rsidRPr="003013DE" w:rsidRDefault="0008506B" w:rsidP="0008506B">
      <w:pPr>
        <w:pStyle w:val="Textocomentario"/>
        <w:ind w:left="360"/>
        <w:outlineLvl w:val="1"/>
        <w:rPr>
          <w:lang w:val="es-ES"/>
        </w:rPr>
      </w:pPr>
    </w:p>
    <w:p w14:paraId="7C028E45" w14:textId="3752C261" w:rsidR="00FE32A4" w:rsidRPr="003013DE" w:rsidRDefault="00FE32A4" w:rsidP="0008506B">
      <w:pPr>
        <w:pStyle w:val="Ttulo2"/>
        <w:rPr>
          <w:rFonts w:ascii="Times New Roman" w:hAnsi="Times New Roman" w:cs="Times New Roman"/>
          <w:b/>
          <w:bCs/>
          <w:color w:val="auto"/>
          <w:sz w:val="24"/>
          <w:szCs w:val="24"/>
          <w:lang w:val="es-ES"/>
        </w:rPr>
      </w:pPr>
      <w:bookmarkStart w:id="18" w:name="_Toc223177117"/>
      <w:r w:rsidRPr="003013DE">
        <w:rPr>
          <w:rFonts w:ascii="Times New Roman" w:hAnsi="Times New Roman" w:cs="Times New Roman"/>
          <w:b/>
          <w:bCs/>
          <w:color w:val="auto"/>
          <w:sz w:val="24"/>
          <w:szCs w:val="24"/>
          <w:lang w:val="es-ES"/>
        </w:rPr>
        <w:t>1.5.1 Antecedentes históricos</w:t>
      </w:r>
      <w:bookmarkEnd w:id="18"/>
    </w:p>
    <w:p w14:paraId="0814252E" w14:textId="086E14A9" w:rsidR="008D275B" w:rsidRPr="00115E58" w:rsidRDefault="00891F3E" w:rsidP="007761B6">
      <w:pPr>
        <w:pStyle w:val="Piedepgina"/>
        <w:spacing w:before="240"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 xml:space="preserve">El autor </w:t>
      </w:r>
      <w:r w:rsidR="008D275B" w:rsidRPr="00115E58">
        <w:rPr>
          <w:rFonts w:ascii="Times New Roman" w:hAnsi="Times New Roman" w:cs="Times New Roman"/>
          <w:sz w:val="24"/>
          <w:szCs w:val="24"/>
        </w:rPr>
        <w:t>Sudo et al</w:t>
      </w:r>
      <w:r w:rsidR="00217504" w:rsidRPr="00115E58">
        <w:rPr>
          <w:rFonts w:ascii="Times New Roman" w:hAnsi="Times New Roman" w:cs="Times New Roman"/>
          <w:sz w:val="24"/>
          <w:szCs w:val="24"/>
          <w:vertAlign w:val="superscript"/>
        </w:rPr>
        <w:t>14</w:t>
      </w:r>
      <w:r w:rsidR="008D275B" w:rsidRPr="00115E58">
        <w:rPr>
          <w:rFonts w:ascii="Times New Roman" w:hAnsi="Times New Roman" w:cs="Times New Roman"/>
          <w:sz w:val="24"/>
          <w:szCs w:val="24"/>
        </w:rPr>
        <w:t>. (2004), en su trabajo titulado “Postnatal microbial colonization programs the hypothalamic–pituitary–adrenal system for stress response in mice”, tuvieron como objetivo general investigar cómo la colonización microbiana intestinal después del nacimiento afecta el sistema de respuesta al estrés (eje hipotálamo-pituitaria-adrenal, HPA) en ratones.</w:t>
      </w:r>
    </w:p>
    <w:p w14:paraId="5FCD83E5"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07E30BE3" w14:textId="62D6A6E5" w:rsidR="008D275B" w:rsidRPr="00115E58" w:rsidRDefault="00CC4DCF"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lastRenderedPageBreak/>
        <w:t>U</w:t>
      </w:r>
      <w:r w:rsidR="008D275B" w:rsidRPr="00115E58">
        <w:rPr>
          <w:rFonts w:ascii="Times New Roman" w:hAnsi="Times New Roman" w:cs="Times New Roman"/>
          <w:sz w:val="24"/>
          <w:szCs w:val="24"/>
        </w:rPr>
        <w:t>tilizó un diseño experimental con modelos animales (ratones germ-free vs ratones convencionales). La colonización microbiana se manipuló en los primeros días de vida, y se midieron niveles de corticosterona y respuestas al estrés en etapas posteriores. Los datos fueron recogidos mediante pruebas de estrés agudo, análisis de biomarcadores hormonales y observaciones de comportamiento. Uno de los hallazgos fue que ratones germ-free mostraban una respuesta exagerada al estrés que se atenuaba si eran colonizados con microbiota en el período neonatal.</w:t>
      </w:r>
    </w:p>
    <w:p w14:paraId="11116183"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2C4BC375" w14:textId="3226AEEC" w:rsidR="008D275B" w:rsidRPr="00115E58" w:rsidRDefault="008D275B"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Este antecedente</w:t>
      </w:r>
      <w:r w:rsidR="00CC4DCF" w:rsidRPr="00115E58">
        <w:rPr>
          <w:rFonts w:ascii="Times New Roman" w:hAnsi="Times New Roman" w:cs="Times New Roman"/>
          <w:sz w:val="24"/>
          <w:szCs w:val="24"/>
        </w:rPr>
        <w:t xml:space="preserve"> es relevante en esta investigación porque </w:t>
      </w:r>
      <w:r w:rsidRPr="00115E58">
        <w:rPr>
          <w:rFonts w:ascii="Times New Roman" w:hAnsi="Times New Roman" w:cs="Times New Roman"/>
          <w:sz w:val="24"/>
          <w:szCs w:val="24"/>
        </w:rPr>
        <w:t xml:space="preserve">aporta evidencia temprana de que </w:t>
      </w:r>
      <w:bookmarkStart w:id="19" w:name="_Int_Zke8AK0a"/>
      <w:r w:rsidR="006F4E55" w:rsidRPr="00115E58">
        <w:rPr>
          <w:rFonts w:ascii="Times New Roman" w:hAnsi="Times New Roman" w:cs="Times New Roman"/>
          <w:sz w:val="24"/>
          <w:szCs w:val="24"/>
        </w:rPr>
        <w:t xml:space="preserve">la </w:t>
      </w:r>
      <w:r w:rsidR="00CC4DCF" w:rsidRPr="00115E58">
        <w:rPr>
          <w:rFonts w:ascii="Times New Roman" w:hAnsi="Times New Roman" w:cs="Times New Roman"/>
          <w:sz w:val="24"/>
          <w:szCs w:val="24"/>
        </w:rPr>
        <w:t>microbiota intestinal</w:t>
      </w:r>
      <w:bookmarkEnd w:id="19"/>
      <w:r w:rsidRPr="00115E58">
        <w:rPr>
          <w:rFonts w:ascii="Times New Roman" w:hAnsi="Times New Roman" w:cs="Times New Roman"/>
          <w:sz w:val="24"/>
          <w:szCs w:val="24"/>
        </w:rPr>
        <w:t xml:space="preserve"> no solo participa en funciones digestivas o inmunes, sino que tiene efectos duraderos sobre el sistema nervioso y endocrino, modulando la respuesta al estrés. </w:t>
      </w:r>
      <w:r w:rsidR="006F4E55" w:rsidRPr="00115E58">
        <w:rPr>
          <w:rFonts w:ascii="Times New Roman" w:hAnsi="Times New Roman" w:cs="Times New Roman"/>
          <w:sz w:val="24"/>
          <w:szCs w:val="24"/>
        </w:rPr>
        <w:t>Ademas, s</w:t>
      </w:r>
      <w:r w:rsidRPr="00115E58">
        <w:rPr>
          <w:rFonts w:ascii="Times New Roman" w:hAnsi="Times New Roman" w:cs="Times New Roman"/>
          <w:sz w:val="24"/>
          <w:szCs w:val="24"/>
        </w:rPr>
        <w:t xml:space="preserve">ugiere que los efectos </w:t>
      </w:r>
      <w:r w:rsidR="006F4E55" w:rsidRPr="00115E58">
        <w:rPr>
          <w:rFonts w:ascii="Times New Roman" w:hAnsi="Times New Roman" w:cs="Times New Roman"/>
          <w:sz w:val="24"/>
          <w:szCs w:val="24"/>
        </w:rPr>
        <w:t>del microbiota</w:t>
      </w:r>
      <w:r w:rsidRPr="00115E58">
        <w:rPr>
          <w:rFonts w:ascii="Times New Roman" w:hAnsi="Times New Roman" w:cs="Times New Roman"/>
          <w:sz w:val="24"/>
          <w:szCs w:val="24"/>
        </w:rPr>
        <w:t xml:space="preserve"> pueden comenzar muy temprano y afectar vías de regulación neuroendocrina que también pueden estar implicadas en enfermedades neurodegenerativas, aunque no específicamente Alzheimer o Parkinson en este estudio.</w:t>
      </w:r>
    </w:p>
    <w:p w14:paraId="5A9C1D8E"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4A7EEBBA" w14:textId="6DEDE5F7" w:rsidR="008D275B" w:rsidRPr="00115E58" w:rsidRDefault="008D275B"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Bercik et al</w:t>
      </w:r>
      <w:r w:rsidR="00217504" w:rsidRPr="00115E58">
        <w:rPr>
          <w:rFonts w:ascii="Times New Roman" w:hAnsi="Times New Roman" w:cs="Times New Roman"/>
          <w:sz w:val="24"/>
          <w:szCs w:val="24"/>
          <w:vertAlign w:val="superscript"/>
        </w:rPr>
        <w:t>15</w:t>
      </w:r>
      <w:r w:rsidRPr="00115E58">
        <w:rPr>
          <w:rFonts w:ascii="Times New Roman" w:hAnsi="Times New Roman" w:cs="Times New Roman"/>
          <w:sz w:val="24"/>
          <w:szCs w:val="24"/>
        </w:rPr>
        <w:t>. (2008), en su investigación titulada “Anxiety-like behavior and central changes in the brain in germ-free mice”, tuvieron como objetivo analizar cómo la ausencia de microbiota intestinal afecta el comportamiento tipo ansiedad y las estructuras cerebrales implicadas en dicho comportamiento.</w:t>
      </w:r>
    </w:p>
    <w:p w14:paraId="6F6E1A25" w14:textId="77777777" w:rsidR="007761B6" w:rsidRDefault="007761B6" w:rsidP="00F71816">
      <w:pPr>
        <w:pStyle w:val="Piedepgina"/>
        <w:spacing w:line="360" w:lineRule="auto"/>
        <w:ind w:firstLine="708"/>
        <w:jc w:val="both"/>
        <w:rPr>
          <w:rFonts w:ascii="Times New Roman" w:hAnsi="Times New Roman" w:cs="Times New Roman"/>
          <w:sz w:val="24"/>
          <w:szCs w:val="24"/>
        </w:rPr>
      </w:pPr>
    </w:p>
    <w:p w14:paraId="02261F15" w14:textId="691BED5E" w:rsidR="008D275B" w:rsidRPr="00115E58" w:rsidRDefault="008D275B" w:rsidP="00F71816">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La metodología fue experimental con ratones germ-free (libres de microbiota) comparados con ratones convencionales. Se utilizaron pruebas de comportamiento para medir ansiedad, se realizaron análisis de la estructura y morfología neuronal, incluyendo niveles de proteínas relacionadas con sinapsis, neurotransmisores y expresión génica en regiones como la amígdala y el hipocampo. Los resultados mostraron que los ratones sin microbiota presentaban comportamiento ansioso aumentado, cambios en la expresión de genes implicados en neurotransmisores GABA y glutamato, y alteraciones en el eje HPA.</w:t>
      </w:r>
    </w:p>
    <w:p w14:paraId="145056BB"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0B831A4F" w14:textId="3DD0F4E9" w:rsidR="008D275B" w:rsidRPr="00115E58" w:rsidRDefault="008D275B"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 xml:space="preserve">Este antecedente </w:t>
      </w:r>
      <w:r w:rsidR="006A00EF" w:rsidRPr="00115E58">
        <w:rPr>
          <w:rFonts w:ascii="Times New Roman" w:hAnsi="Times New Roman" w:cs="Times New Roman"/>
          <w:sz w:val="24"/>
          <w:szCs w:val="24"/>
        </w:rPr>
        <w:t xml:space="preserve">muestra </w:t>
      </w:r>
      <w:r w:rsidRPr="00115E58">
        <w:rPr>
          <w:rFonts w:ascii="Times New Roman" w:hAnsi="Times New Roman" w:cs="Times New Roman"/>
          <w:sz w:val="24"/>
          <w:szCs w:val="24"/>
        </w:rPr>
        <w:t xml:space="preserve">que </w:t>
      </w:r>
      <w:r w:rsidR="006A00EF" w:rsidRPr="00115E58">
        <w:rPr>
          <w:rFonts w:ascii="Times New Roman" w:hAnsi="Times New Roman" w:cs="Times New Roman"/>
          <w:sz w:val="24"/>
          <w:szCs w:val="24"/>
        </w:rPr>
        <w:t>el microbiota intestinal</w:t>
      </w:r>
      <w:r w:rsidRPr="00115E58">
        <w:rPr>
          <w:rFonts w:ascii="Times New Roman" w:hAnsi="Times New Roman" w:cs="Times New Roman"/>
          <w:sz w:val="24"/>
          <w:szCs w:val="24"/>
        </w:rPr>
        <w:t xml:space="preserve"> puede modular comportamiento emocional y la estructura funcional del cerebro. Aunque no aborda directamente </w:t>
      </w:r>
      <w:r w:rsidRPr="00115E58">
        <w:rPr>
          <w:rFonts w:ascii="Times New Roman" w:hAnsi="Times New Roman" w:cs="Times New Roman"/>
          <w:sz w:val="24"/>
          <w:szCs w:val="24"/>
        </w:rPr>
        <w:lastRenderedPageBreak/>
        <w:t>enfermedades neurodegenerativas, los mecanismos implicados ansiedad, neurotransmisores, regulación del estrés</w:t>
      </w:r>
      <w:r w:rsidR="00065B21" w:rsidRPr="00115E58">
        <w:rPr>
          <w:rFonts w:ascii="Times New Roman" w:hAnsi="Times New Roman" w:cs="Times New Roman"/>
          <w:sz w:val="24"/>
          <w:szCs w:val="24"/>
        </w:rPr>
        <w:t xml:space="preserve"> </w:t>
      </w:r>
      <w:r w:rsidRPr="00115E58">
        <w:rPr>
          <w:rFonts w:ascii="Times New Roman" w:hAnsi="Times New Roman" w:cs="Times New Roman"/>
          <w:sz w:val="24"/>
          <w:szCs w:val="24"/>
        </w:rPr>
        <w:t>pueden ser relevantes como antecedentes de fragilidad neuronal o factores de riesgo.</w:t>
      </w:r>
    </w:p>
    <w:p w14:paraId="1CE5FABD"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7AFC7072" w14:textId="73123772" w:rsidR="00850EEC" w:rsidRPr="00115E58" w:rsidRDefault="00065B21"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 xml:space="preserve">Por su parte, </w:t>
      </w:r>
      <w:r w:rsidR="00850EEC" w:rsidRPr="00115E58">
        <w:rPr>
          <w:rFonts w:ascii="Times New Roman" w:hAnsi="Times New Roman" w:cs="Times New Roman"/>
          <w:sz w:val="24"/>
          <w:szCs w:val="24"/>
        </w:rPr>
        <w:t>Diaz Heijtz et al</w:t>
      </w:r>
      <w:r w:rsidR="00217504" w:rsidRPr="00115E58">
        <w:rPr>
          <w:rFonts w:ascii="Times New Roman" w:hAnsi="Times New Roman" w:cs="Times New Roman"/>
          <w:sz w:val="24"/>
          <w:szCs w:val="24"/>
          <w:vertAlign w:val="superscript"/>
        </w:rPr>
        <w:t>16</w:t>
      </w:r>
      <w:r w:rsidR="00850EEC" w:rsidRPr="00115E58">
        <w:rPr>
          <w:rFonts w:ascii="Times New Roman" w:hAnsi="Times New Roman" w:cs="Times New Roman"/>
          <w:sz w:val="24"/>
          <w:szCs w:val="24"/>
        </w:rPr>
        <w:t xml:space="preserve">. (2011), en su estudio “Normal gut microbiota modulates brain development and behavior”, tuvieron como objetivo explorar la influencia </w:t>
      </w:r>
      <w:r w:rsidRPr="00115E58">
        <w:rPr>
          <w:rFonts w:ascii="Times New Roman" w:hAnsi="Times New Roman" w:cs="Times New Roman"/>
          <w:sz w:val="24"/>
          <w:szCs w:val="24"/>
        </w:rPr>
        <w:t>del microbiota intestinal normal</w:t>
      </w:r>
      <w:r w:rsidR="00850EEC" w:rsidRPr="00115E58">
        <w:rPr>
          <w:rFonts w:ascii="Times New Roman" w:hAnsi="Times New Roman" w:cs="Times New Roman"/>
          <w:sz w:val="24"/>
          <w:szCs w:val="24"/>
        </w:rPr>
        <w:t xml:space="preserve"> sobre el desarrollo cerebral y el comportamiento en ratones, incluyendo efectos en regiones del cerebro implicadas en ansiedad y funciones cognitivas. Aunque el estudio es de 2011, representa la frontera de esos 15-20 años, y es muy citado en el eje microbiota-cerebro.</w:t>
      </w:r>
    </w:p>
    <w:p w14:paraId="72E91687" w14:textId="77777777" w:rsidR="007761B6" w:rsidRDefault="007761B6" w:rsidP="002B0DAB">
      <w:pPr>
        <w:pStyle w:val="Piedepgina"/>
        <w:spacing w:line="360" w:lineRule="auto"/>
        <w:ind w:firstLine="708"/>
        <w:jc w:val="both"/>
        <w:rPr>
          <w:rFonts w:ascii="Times New Roman" w:hAnsi="Times New Roman" w:cs="Times New Roman"/>
          <w:sz w:val="24"/>
          <w:szCs w:val="24"/>
        </w:rPr>
      </w:pPr>
    </w:p>
    <w:p w14:paraId="61A43CBA" w14:textId="1DA8E1BF" w:rsidR="002B0DAB" w:rsidRPr="00115E58" w:rsidRDefault="00850EEC" w:rsidP="002B0DAB">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Se utilizó un modelo animal con ratones germ-free comparados con ratones con microbiota normal (SPF: specific pathogen free) desde etapas tempranas de desarrollo. Se midieron comportamientos relacionados con actividad motora, ansiedad y desempeño cognitivo, además de análisis moleculares de genes sinápticos (PSD-95, sinaptophysine) en región de estriado y hipocampo. Si ratones germ-free mostraban mayor actividad motora y menos ansiedad, con expresión genética alterada; tras colonización en edades tempranas, se observaron fenómenos de normalización parcial.</w:t>
      </w:r>
    </w:p>
    <w:p w14:paraId="6745A773" w14:textId="0EAD66B9" w:rsidR="00850EEC" w:rsidRPr="00115E58" w:rsidRDefault="00850EEC" w:rsidP="002B0DAB">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Este antecedente es</w:t>
      </w:r>
      <w:r w:rsidR="00325A9C" w:rsidRPr="00115E58">
        <w:rPr>
          <w:rFonts w:ascii="Times New Roman" w:hAnsi="Times New Roman" w:cs="Times New Roman"/>
          <w:sz w:val="24"/>
          <w:szCs w:val="24"/>
        </w:rPr>
        <w:t xml:space="preserve">fue seleccionado </w:t>
      </w:r>
      <w:r w:rsidRPr="00115E58">
        <w:rPr>
          <w:rFonts w:ascii="Times New Roman" w:hAnsi="Times New Roman" w:cs="Times New Roman"/>
          <w:sz w:val="24"/>
          <w:szCs w:val="24"/>
        </w:rPr>
        <w:t xml:space="preserve">porque evidencia que </w:t>
      </w:r>
      <w:r w:rsidR="00325A9C" w:rsidRPr="00115E58">
        <w:rPr>
          <w:rFonts w:ascii="Times New Roman" w:hAnsi="Times New Roman" w:cs="Times New Roman"/>
          <w:sz w:val="24"/>
          <w:szCs w:val="24"/>
        </w:rPr>
        <w:t>el microbiota</w:t>
      </w:r>
      <w:r w:rsidRPr="00115E58">
        <w:rPr>
          <w:rFonts w:ascii="Times New Roman" w:hAnsi="Times New Roman" w:cs="Times New Roman"/>
          <w:sz w:val="24"/>
          <w:szCs w:val="24"/>
        </w:rPr>
        <w:t xml:space="preserve"> tiene un papel en la maduración del sistema nervioso y funciones conductuales, lo que constituye una base para hipótesis sobre cómo la disbiosis en adultos mayores</w:t>
      </w:r>
      <w:r w:rsidR="007B5B5D" w:rsidRPr="00115E58">
        <w:rPr>
          <w:rFonts w:ascii="Times New Roman" w:hAnsi="Times New Roman" w:cs="Times New Roman"/>
          <w:sz w:val="24"/>
          <w:szCs w:val="24"/>
        </w:rPr>
        <w:t>.</w:t>
      </w:r>
    </w:p>
    <w:p w14:paraId="3B9D53E9" w14:textId="77777777" w:rsidR="007761B6" w:rsidRDefault="007761B6" w:rsidP="002B0DAB">
      <w:pPr>
        <w:pStyle w:val="Piedepgina"/>
        <w:spacing w:line="360" w:lineRule="auto"/>
        <w:ind w:firstLine="708"/>
        <w:jc w:val="both"/>
        <w:rPr>
          <w:rFonts w:ascii="Times New Roman" w:hAnsi="Times New Roman" w:cs="Times New Roman"/>
          <w:sz w:val="24"/>
          <w:szCs w:val="24"/>
        </w:rPr>
      </w:pPr>
    </w:p>
    <w:p w14:paraId="70D14870" w14:textId="210799A0" w:rsidR="002B0DAB" w:rsidRPr="00115E58" w:rsidRDefault="00850EEC" w:rsidP="002B0DAB">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Harach et al</w:t>
      </w:r>
      <w:r w:rsidR="00217504" w:rsidRPr="00115E58">
        <w:rPr>
          <w:rFonts w:ascii="Times New Roman" w:hAnsi="Times New Roman" w:cs="Times New Roman"/>
          <w:sz w:val="24"/>
          <w:szCs w:val="24"/>
          <w:vertAlign w:val="superscript"/>
        </w:rPr>
        <w:t>17</w:t>
      </w:r>
      <w:r w:rsidRPr="00115E58">
        <w:rPr>
          <w:rFonts w:ascii="Times New Roman" w:hAnsi="Times New Roman" w:cs="Times New Roman"/>
          <w:sz w:val="24"/>
          <w:szCs w:val="24"/>
        </w:rPr>
        <w:t xml:space="preserve">. (2015), en su trabajo “Reduction of Alzheimer’s disease beta-amyloid pathology in the absence of gut microbiota”, tuvieron como objetivo estudiar la influencia </w:t>
      </w:r>
      <w:r w:rsidR="007B5B5D" w:rsidRPr="00115E58">
        <w:rPr>
          <w:rFonts w:ascii="Times New Roman" w:hAnsi="Times New Roman" w:cs="Times New Roman"/>
          <w:sz w:val="24"/>
          <w:szCs w:val="24"/>
        </w:rPr>
        <w:t>del microbiota intestinal</w:t>
      </w:r>
      <w:r w:rsidRPr="00115E58">
        <w:rPr>
          <w:rFonts w:ascii="Times New Roman" w:hAnsi="Times New Roman" w:cs="Times New Roman"/>
          <w:sz w:val="24"/>
          <w:szCs w:val="24"/>
        </w:rPr>
        <w:t xml:space="preserve"> sobre la acumulación de beta-amiloide en un modelo de ratones de Alzheimer, evaluando la patología Amiloide-β en condiciones de microbiota reducida o ausente.</w:t>
      </w:r>
    </w:p>
    <w:p w14:paraId="4B052FCD" w14:textId="77777777" w:rsidR="007761B6" w:rsidRDefault="007761B6" w:rsidP="002B0DAB">
      <w:pPr>
        <w:pStyle w:val="Piedepgina"/>
        <w:spacing w:line="360" w:lineRule="auto"/>
        <w:ind w:firstLine="708"/>
        <w:jc w:val="both"/>
        <w:rPr>
          <w:rFonts w:ascii="Times New Roman" w:hAnsi="Times New Roman" w:cs="Times New Roman"/>
          <w:sz w:val="24"/>
          <w:szCs w:val="24"/>
        </w:rPr>
      </w:pPr>
    </w:p>
    <w:p w14:paraId="2A98519F" w14:textId="2562668F" w:rsidR="002B0DAB" w:rsidRPr="00115E58" w:rsidRDefault="002B0DAB" w:rsidP="002B0DAB">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 xml:space="preserve"> </w:t>
      </w:r>
      <w:r w:rsidR="00850EEC" w:rsidRPr="00115E58">
        <w:rPr>
          <w:rFonts w:ascii="Times New Roman" w:hAnsi="Times New Roman" w:cs="Times New Roman"/>
          <w:sz w:val="24"/>
          <w:szCs w:val="24"/>
        </w:rPr>
        <w:t xml:space="preserve">Utilizaron ratones transgénicos modelo de Alzheimer criados en condiciones germ-free versus convencionales. Se midieron niveles de placas de β-amiloide, se analizaron cambios en la composición microbiana del intestino mediante 16S rRNA, y se hicieron </w:t>
      </w:r>
      <w:r w:rsidR="00850EEC" w:rsidRPr="00115E58">
        <w:rPr>
          <w:rFonts w:ascii="Times New Roman" w:hAnsi="Times New Roman" w:cs="Times New Roman"/>
          <w:sz w:val="24"/>
          <w:szCs w:val="24"/>
        </w:rPr>
        <w:lastRenderedPageBreak/>
        <w:t>experimentos de colonización con microbiota proveniente de ratones con o sin enfermedad. Los ratones germ-free mostraron marcadamente menor patología amiloide en el cerebro; la colonización con microbiota de ratones enfermos incrementó la carga de placas.</w:t>
      </w:r>
    </w:p>
    <w:p w14:paraId="68DDF08E" w14:textId="77777777" w:rsidR="007761B6" w:rsidRDefault="007761B6" w:rsidP="002B0DAB">
      <w:pPr>
        <w:pStyle w:val="Piedepgina"/>
        <w:spacing w:line="360" w:lineRule="auto"/>
        <w:ind w:firstLine="708"/>
        <w:jc w:val="both"/>
        <w:rPr>
          <w:rFonts w:ascii="Times New Roman" w:hAnsi="Times New Roman" w:cs="Times New Roman"/>
          <w:sz w:val="24"/>
          <w:szCs w:val="24"/>
        </w:rPr>
      </w:pPr>
    </w:p>
    <w:p w14:paraId="1FB14679" w14:textId="7A9CB523" w:rsidR="00850EEC" w:rsidRPr="00115E58" w:rsidRDefault="00D95317" w:rsidP="002B0DAB">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 xml:space="preserve">Lo anterior, resulta interesante para esta investigación ya que muestra </w:t>
      </w:r>
      <w:r w:rsidR="00850EEC" w:rsidRPr="00115E58">
        <w:rPr>
          <w:rFonts w:ascii="Times New Roman" w:hAnsi="Times New Roman" w:cs="Times New Roman"/>
          <w:sz w:val="24"/>
          <w:szCs w:val="24"/>
        </w:rPr>
        <w:t xml:space="preserve">evidencia experimental que </w:t>
      </w:r>
      <w:r w:rsidR="0037773A" w:rsidRPr="00115E58">
        <w:rPr>
          <w:rFonts w:ascii="Times New Roman" w:hAnsi="Times New Roman" w:cs="Times New Roman"/>
          <w:sz w:val="24"/>
          <w:szCs w:val="24"/>
        </w:rPr>
        <w:t>el microbiota</w:t>
      </w:r>
      <w:r w:rsidR="00850EEC" w:rsidRPr="00115E58">
        <w:rPr>
          <w:rFonts w:ascii="Times New Roman" w:hAnsi="Times New Roman" w:cs="Times New Roman"/>
          <w:sz w:val="24"/>
          <w:szCs w:val="24"/>
        </w:rPr>
        <w:t xml:space="preserve"> no es solamente </w:t>
      </w:r>
      <w:r w:rsidR="0037773A" w:rsidRPr="00115E58">
        <w:rPr>
          <w:rFonts w:ascii="Times New Roman" w:hAnsi="Times New Roman" w:cs="Times New Roman"/>
          <w:sz w:val="24"/>
          <w:szCs w:val="24"/>
        </w:rPr>
        <w:t>correlativa,</w:t>
      </w:r>
      <w:r w:rsidR="00850EEC" w:rsidRPr="00115E58">
        <w:rPr>
          <w:rFonts w:ascii="Times New Roman" w:hAnsi="Times New Roman" w:cs="Times New Roman"/>
          <w:sz w:val="24"/>
          <w:szCs w:val="24"/>
        </w:rPr>
        <w:t xml:space="preserve"> sino que en modelos animales puede modular directamente biomarcadores patológicos de Alzheimer. Es un puente entre estudios de comportamiento y estudios de enfermedad neurodegenerativa</w:t>
      </w:r>
      <w:r w:rsidR="00514585" w:rsidRPr="00115E58">
        <w:rPr>
          <w:rFonts w:ascii="Times New Roman" w:hAnsi="Times New Roman" w:cs="Times New Roman"/>
          <w:sz w:val="24"/>
          <w:szCs w:val="24"/>
        </w:rPr>
        <w:t>.</w:t>
      </w:r>
    </w:p>
    <w:p w14:paraId="7980C8B1"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1AD920B2" w14:textId="58E8E407" w:rsidR="00EE3053" w:rsidRPr="00115E58" w:rsidRDefault="00514585"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 xml:space="preserve">Por último, </w:t>
      </w:r>
      <w:r w:rsidR="00EE3053" w:rsidRPr="00115E58">
        <w:rPr>
          <w:rFonts w:ascii="Times New Roman" w:hAnsi="Times New Roman" w:cs="Times New Roman"/>
          <w:sz w:val="24"/>
          <w:szCs w:val="24"/>
        </w:rPr>
        <w:t>Forsythe et al</w:t>
      </w:r>
      <w:r w:rsidR="00CE0782" w:rsidRPr="00115E58">
        <w:rPr>
          <w:rFonts w:ascii="Times New Roman" w:hAnsi="Times New Roman" w:cs="Times New Roman"/>
          <w:sz w:val="24"/>
          <w:szCs w:val="24"/>
          <w:vertAlign w:val="superscript"/>
        </w:rPr>
        <w:t>18</w:t>
      </w:r>
      <w:r w:rsidR="00EE3053" w:rsidRPr="00115E58">
        <w:rPr>
          <w:rFonts w:ascii="Times New Roman" w:hAnsi="Times New Roman" w:cs="Times New Roman"/>
          <w:sz w:val="24"/>
          <w:szCs w:val="24"/>
        </w:rPr>
        <w:t xml:space="preserve">. (2007), en su estudio “Vagal Pathways for Microbe-Mediated Effects on Behavior and the Nervous System”, tuvieron como objetivo general determinar si la comunicación vía nervio vago contribuye a los efectos </w:t>
      </w:r>
      <w:bookmarkStart w:id="20" w:name="_Int_UghxQq1l"/>
      <w:r w:rsidR="00EE3053" w:rsidRPr="00115E58">
        <w:rPr>
          <w:rFonts w:ascii="Times New Roman" w:hAnsi="Times New Roman" w:cs="Times New Roman"/>
          <w:sz w:val="24"/>
          <w:szCs w:val="24"/>
        </w:rPr>
        <w:t>de la microbiota</w:t>
      </w:r>
      <w:bookmarkEnd w:id="20"/>
      <w:r w:rsidR="00EE3053" w:rsidRPr="00115E58">
        <w:rPr>
          <w:rFonts w:ascii="Times New Roman" w:hAnsi="Times New Roman" w:cs="Times New Roman"/>
          <w:sz w:val="24"/>
          <w:szCs w:val="24"/>
        </w:rPr>
        <w:t xml:space="preserve"> sobre el comportamiento y sobre marcadores neurológicos en modelos animales.</w:t>
      </w:r>
    </w:p>
    <w:p w14:paraId="05283F04"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16C7FABF" w14:textId="5CA01A92" w:rsidR="00EE3053" w:rsidRPr="00115E58" w:rsidRDefault="00EE3053"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Se emplearon ratones con y sin vago funcional; algunos animales fueron tratados para seccionar el nervio vago, otros no, con exposición a cepas bacterianas específicas probióticas. Se midieron comportamientos relacionados con ansiedad, niveles de neurotransmisores, y respuesta inmune intestinal y sistémica. Los resultados mostraron que algunos efectos conductuales inducidos por bacterias probióticas se pierden si se interrumpe el nervio vago, lo que sugiere que esta vía nerviosa es clave para la comunicación microbio-cerebro.</w:t>
      </w:r>
    </w:p>
    <w:p w14:paraId="2AF10013" w14:textId="77777777" w:rsidR="007761B6" w:rsidRDefault="007761B6" w:rsidP="00EE3053">
      <w:pPr>
        <w:pStyle w:val="Piedepgina"/>
        <w:spacing w:line="360" w:lineRule="auto"/>
        <w:ind w:firstLine="708"/>
        <w:jc w:val="both"/>
        <w:rPr>
          <w:rFonts w:ascii="Times New Roman" w:hAnsi="Times New Roman" w:cs="Times New Roman"/>
          <w:sz w:val="24"/>
          <w:szCs w:val="24"/>
        </w:rPr>
      </w:pPr>
    </w:p>
    <w:p w14:paraId="2BD50689" w14:textId="7406261C" w:rsidR="004341C7" w:rsidRPr="00115E58" w:rsidRDefault="00867321" w:rsidP="00EE3053">
      <w:pPr>
        <w:pStyle w:val="Piedepgina"/>
        <w:spacing w:line="360" w:lineRule="auto"/>
        <w:ind w:firstLine="708"/>
        <w:jc w:val="both"/>
        <w:rPr>
          <w:rFonts w:ascii="Times New Roman" w:hAnsi="Times New Roman" w:cs="Times New Roman"/>
          <w:sz w:val="24"/>
          <w:szCs w:val="24"/>
        </w:rPr>
      </w:pPr>
      <w:r w:rsidRPr="00115E58">
        <w:rPr>
          <w:rFonts w:ascii="Times New Roman" w:hAnsi="Times New Roman" w:cs="Times New Roman"/>
          <w:sz w:val="24"/>
          <w:szCs w:val="24"/>
        </w:rPr>
        <w:t xml:space="preserve">Lo anterior, </w:t>
      </w:r>
      <w:r w:rsidR="00EE3053" w:rsidRPr="00115E58">
        <w:rPr>
          <w:rFonts w:ascii="Times New Roman" w:hAnsi="Times New Roman" w:cs="Times New Roman"/>
          <w:sz w:val="24"/>
          <w:szCs w:val="24"/>
        </w:rPr>
        <w:t xml:space="preserve">aporta al tema actual mostrando uno de los posibles mecanismos de comunicación entre microbiota intestinal y SNC, en este caso el nervio vago. </w:t>
      </w:r>
      <w:r w:rsidR="003549BF" w:rsidRPr="00115E58">
        <w:rPr>
          <w:rFonts w:ascii="Times New Roman" w:hAnsi="Times New Roman" w:cs="Times New Roman"/>
          <w:sz w:val="24"/>
          <w:szCs w:val="24"/>
        </w:rPr>
        <w:t xml:space="preserve">Además, </w:t>
      </w:r>
      <w:r w:rsidR="00EE3053" w:rsidRPr="00115E58">
        <w:rPr>
          <w:rFonts w:ascii="Times New Roman" w:hAnsi="Times New Roman" w:cs="Times New Roman"/>
          <w:sz w:val="24"/>
          <w:szCs w:val="24"/>
        </w:rPr>
        <w:t>ofrece precede</w:t>
      </w:r>
      <w:r w:rsidR="003549BF" w:rsidRPr="00115E58">
        <w:rPr>
          <w:rFonts w:ascii="Times New Roman" w:hAnsi="Times New Roman" w:cs="Times New Roman"/>
          <w:sz w:val="24"/>
          <w:szCs w:val="24"/>
        </w:rPr>
        <w:t xml:space="preserve">res </w:t>
      </w:r>
      <w:r w:rsidR="00EE3053" w:rsidRPr="00115E58">
        <w:rPr>
          <w:rFonts w:ascii="Times New Roman" w:hAnsi="Times New Roman" w:cs="Times New Roman"/>
          <w:sz w:val="24"/>
          <w:szCs w:val="24"/>
        </w:rPr>
        <w:t>metodológicos y teóricos muy relevantes.</w:t>
      </w:r>
    </w:p>
    <w:p w14:paraId="7158E500" w14:textId="77777777" w:rsidR="00A3284A" w:rsidRPr="00115E58" w:rsidRDefault="00A3284A" w:rsidP="00EE3053">
      <w:pPr>
        <w:pStyle w:val="Piedepgina"/>
        <w:spacing w:line="360" w:lineRule="auto"/>
        <w:ind w:firstLine="708"/>
        <w:jc w:val="both"/>
        <w:rPr>
          <w:rFonts w:ascii="Times New Roman" w:hAnsi="Times New Roman" w:cs="Times New Roman"/>
          <w:sz w:val="24"/>
          <w:szCs w:val="24"/>
        </w:rPr>
      </w:pPr>
    </w:p>
    <w:p w14:paraId="0918E5C8" w14:textId="4CD4CF55" w:rsidR="00FE32A4" w:rsidRPr="003013DE" w:rsidRDefault="00FE32A4" w:rsidP="0008506B">
      <w:pPr>
        <w:pStyle w:val="Ttulo2"/>
        <w:rPr>
          <w:rFonts w:ascii="Times New Roman" w:hAnsi="Times New Roman" w:cs="Times New Roman"/>
          <w:b/>
          <w:bCs/>
          <w:color w:val="auto"/>
          <w:sz w:val="24"/>
          <w:szCs w:val="24"/>
          <w:lang w:val="es-ES"/>
        </w:rPr>
      </w:pPr>
      <w:bookmarkStart w:id="21" w:name="_Toc223177118"/>
      <w:r w:rsidRPr="003013DE">
        <w:rPr>
          <w:rFonts w:ascii="Times New Roman" w:hAnsi="Times New Roman" w:cs="Times New Roman"/>
          <w:b/>
          <w:bCs/>
          <w:color w:val="auto"/>
          <w:sz w:val="24"/>
          <w:szCs w:val="24"/>
          <w:lang w:val="es-ES"/>
        </w:rPr>
        <w:t>1.5.2 Antecedentes internacionales</w:t>
      </w:r>
      <w:bookmarkEnd w:id="21"/>
    </w:p>
    <w:p w14:paraId="7DBF3EF5" w14:textId="2B036ADE" w:rsidR="001C42E8" w:rsidRPr="003013DE" w:rsidRDefault="001C42E8"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Hung CC et al</w:t>
      </w:r>
      <w:r w:rsidR="00F16BFC" w:rsidRPr="003013DE">
        <w:rPr>
          <w:rFonts w:ascii="Times New Roman" w:eastAsiaTheme="minorEastAsia" w:hAnsi="Times New Roman" w:cs="Times New Roman"/>
          <w:sz w:val="24"/>
          <w:szCs w:val="24"/>
          <w:vertAlign w:val="superscript"/>
          <w:lang w:eastAsia="es-ES"/>
        </w:rPr>
        <w:t>19</w:t>
      </w:r>
      <w:r w:rsidRPr="003013DE">
        <w:rPr>
          <w:rFonts w:ascii="Times New Roman" w:eastAsiaTheme="minorEastAsia" w:hAnsi="Times New Roman" w:cs="Times New Roman"/>
          <w:sz w:val="24"/>
          <w:szCs w:val="24"/>
          <w:lang w:eastAsia="es-ES"/>
        </w:rPr>
        <w:t xml:space="preserve">. (2022), en su revisión sistemática y metaanálisis titulada “Gut microbiota in patients with Alzheimer’s disease spectrum: a systematic review and meta-analysis”, tuvieron como objetivo general analizar las diferencias en composición microbiana entre individuos con el espectro de enfermedad de Alzheimer (incluyendo deterioro cognitivo </w:t>
      </w:r>
      <w:r w:rsidRPr="003013DE">
        <w:rPr>
          <w:rFonts w:ascii="Times New Roman" w:eastAsiaTheme="minorEastAsia" w:hAnsi="Times New Roman" w:cs="Times New Roman"/>
          <w:sz w:val="24"/>
          <w:szCs w:val="24"/>
          <w:lang w:eastAsia="es-ES"/>
        </w:rPr>
        <w:lastRenderedPageBreak/>
        <w:t>leve) y controles sanos, e identificar taxones recurrentemente asociados con el proceso patológico.</w:t>
      </w:r>
    </w:p>
    <w:p w14:paraId="2CDF35CA" w14:textId="53E1F629" w:rsidR="001C42E8" w:rsidRPr="003013DE" w:rsidRDefault="001C42E8"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Se realizó una revisión sistemática de estudios observacionales publicados hasta 2021 que comparaban </w:t>
      </w:r>
      <w:r w:rsidR="00DF434F" w:rsidRPr="003013DE">
        <w:rPr>
          <w:rFonts w:ascii="Times New Roman" w:eastAsiaTheme="minorEastAsia" w:hAnsi="Times New Roman" w:cs="Times New Roman"/>
          <w:sz w:val="24"/>
          <w:szCs w:val="24"/>
          <w:lang w:eastAsia="es-ES"/>
        </w:rPr>
        <w:t xml:space="preserve">la </w:t>
      </w:r>
      <w:r w:rsidR="009F23B3" w:rsidRPr="003013DE">
        <w:rPr>
          <w:rFonts w:ascii="Times New Roman" w:eastAsiaTheme="minorEastAsia" w:hAnsi="Times New Roman" w:cs="Times New Roman"/>
          <w:sz w:val="24"/>
          <w:szCs w:val="24"/>
          <w:lang w:eastAsia="es-ES"/>
        </w:rPr>
        <w:t>microbiota fecal</w:t>
      </w:r>
      <w:r w:rsidRPr="003013DE">
        <w:rPr>
          <w:rFonts w:ascii="Times New Roman" w:eastAsiaTheme="minorEastAsia" w:hAnsi="Times New Roman" w:cs="Times New Roman"/>
          <w:sz w:val="24"/>
          <w:szCs w:val="24"/>
          <w:lang w:eastAsia="es-ES"/>
        </w:rPr>
        <w:t xml:space="preserve"> de pacientes con enfermedad de Alzheimer (AD) o deterioro cognitivo leve (MCI) frente a controles, seguida de metaanálisis de abundancia relativa de géneros bacterianos cuando la heterogeneidad metodológica lo permitió. Los estudios incluidos emplearon en su mayoría secuenciación 16S rRNA; se evaluaron medidas de diversidad alfa y beta, y se realizaron análisis de sensibilidad para controlar variabilidad entre cohortes. </w:t>
      </w:r>
    </w:p>
    <w:p w14:paraId="0A1F58BC" w14:textId="6D2C5356" w:rsidR="001C42E8" w:rsidRPr="003013DE" w:rsidRDefault="001C42E8"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Este antecedente contribuye a la revisión actual al ofrecer una síntesis cuantitativa de la evidencia clínica sobre la asociación entre disbiosis intestinal y el espectro AD, enfatizando tanto hallazgos consistentes como las limitaciones metodológicas que deben afrontarse en investigaciones futuras.</w:t>
      </w:r>
    </w:p>
    <w:p w14:paraId="3D225083" w14:textId="2903AC52" w:rsidR="001C42E8" w:rsidRPr="003013DE" w:rsidRDefault="001C42E8" w:rsidP="001215BE">
      <w:pPr>
        <w:spacing w:after="0" w:line="360" w:lineRule="auto"/>
        <w:ind w:firstLine="708"/>
        <w:jc w:val="both"/>
        <w:rPr>
          <w:rFonts w:ascii="Times New Roman" w:eastAsia="Times New Roman" w:hAnsi="Times New Roman" w:cs="Times New Roman"/>
          <w:sz w:val="24"/>
          <w:szCs w:val="24"/>
          <w:lang w:eastAsia="es-ES"/>
        </w:rPr>
      </w:pPr>
      <w:r w:rsidRPr="003013DE">
        <w:rPr>
          <w:rFonts w:ascii="Times New Roman" w:eastAsiaTheme="minorEastAsia" w:hAnsi="Times New Roman" w:cs="Times New Roman"/>
          <w:sz w:val="24"/>
          <w:szCs w:val="24"/>
          <w:lang w:eastAsia="es-ES"/>
        </w:rPr>
        <w:t>Lubomski M et al</w:t>
      </w:r>
      <w:r w:rsidR="00151745" w:rsidRPr="003013DE">
        <w:rPr>
          <w:rFonts w:ascii="Times New Roman" w:eastAsiaTheme="minorEastAsia" w:hAnsi="Times New Roman" w:cs="Times New Roman"/>
          <w:sz w:val="24"/>
          <w:szCs w:val="24"/>
          <w:vertAlign w:val="superscript"/>
          <w:lang w:eastAsia="es-ES"/>
        </w:rPr>
        <w:t>20</w:t>
      </w:r>
      <w:r w:rsidRPr="003013DE">
        <w:rPr>
          <w:rFonts w:ascii="Times New Roman" w:eastAsiaTheme="minorEastAsia" w:hAnsi="Times New Roman" w:cs="Times New Roman"/>
          <w:sz w:val="24"/>
          <w:szCs w:val="24"/>
          <w:lang w:eastAsia="es-ES"/>
        </w:rPr>
        <w:t>. (2022), en el artículo “The Gut Microbiome in Parkinson’s Disease”, tuvieron como objetivo evaluar la evidencia clínica y longitudinal sobre los cambios del microbioma intestinal en la enfermedad de Parkinson (EP), así como discutir implicaciones patofisiológicas y terapéuticas.</w:t>
      </w:r>
    </w:p>
    <w:p w14:paraId="68778B34" w14:textId="1C28F423" w:rsidR="001C42E8" w:rsidRPr="003013DE" w:rsidRDefault="001C42E8"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autores realizaron una revisión narrativa centrada en estudios de cohorte, series longitudinales y trabajos experimentales publicados hasta 2021–2022, integrando hallazgos de perfiles taxonómicos, potencial funcional y relaciones con la sintomatología motora y no motora de EP. Se prestó atención especial a estudios que relacionaban cambios microbianos con biomarcadores clínicos y con respuesta a terapia. La revisión resumió evidencia de reducción de productores de butirato y aumento de taxones potencialmente proinflamatorios en muchos estudios de EP. </w:t>
      </w:r>
      <w:r w:rsidR="00B24EEE" w:rsidRPr="003013DE">
        <w:rPr>
          <w:rFonts w:ascii="Times New Roman" w:eastAsiaTheme="minorEastAsia" w:hAnsi="Times New Roman" w:cs="Times New Roman"/>
          <w:sz w:val="24"/>
          <w:szCs w:val="24"/>
          <w:lang w:eastAsia="es-ES"/>
        </w:rPr>
        <w:t xml:space="preserve"> </w:t>
      </w:r>
    </w:p>
    <w:p w14:paraId="0B47D501" w14:textId="77777777" w:rsidR="009A7976" w:rsidRPr="003013DE" w:rsidRDefault="001C42E8" w:rsidP="009A797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w:t>
      </w:r>
      <w:r w:rsidR="0000541D" w:rsidRPr="003013DE">
        <w:rPr>
          <w:rFonts w:ascii="Times New Roman" w:eastAsiaTheme="minorEastAsia" w:hAnsi="Times New Roman" w:cs="Times New Roman"/>
          <w:sz w:val="24"/>
          <w:szCs w:val="24"/>
          <w:lang w:eastAsia="es-ES"/>
        </w:rPr>
        <w:t xml:space="preserve">n particular, </w:t>
      </w:r>
      <w:r w:rsidR="00BD4F06" w:rsidRPr="003013DE">
        <w:rPr>
          <w:rFonts w:ascii="Times New Roman" w:eastAsiaTheme="minorEastAsia" w:hAnsi="Times New Roman" w:cs="Times New Roman"/>
          <w:sz w:val="24"/>
          <w:szCs w:val="24"/>
          <w:lang w:eastAsia="es-ES"/>
        </w:rPr>
        <w:t xml:space="preserve">los autores </w:t>
      </w:r>
      <w:r w:rsidRPr="003013DE">
        <w:rPr>
          <w:rFonts w:ascii="Times New Roman" w:eastAsiaTheme="minorEastAsia" w:hAnsi="Times New Roman" w:cs="Times New Roman"/>
          <w:sz w:val="24"/>
          <w:szCs w:val="24"/>
          <w:lang w:eastAsia="es-ES"/>
        </w:rPr>
        <w:t>aporta</w:t>
      </w:r>
      <w:r w:rsidR="00BD4F06" w:rsidRPr="003013DE">
        <w:rPr>
          <w:rFonts w:ascii="Times New Roman" w:eastAsiaTheme="minorEastAsia" w:hAnsi="Times New Roman" w:cs="Times New Roman"/>
          <w:sz w:val="24"/>
          <w:szCs w:val="24"/>
          <w:lang w:eastAsia="es-ES"/>
        </w:rPr>
        <w:t xml:space="preserve">n </w:t>
      </w:r>
      <w:r w:rsidRPr="003013DE">
        <w:rPr>
          <w:rFonts w:ascii="Times New Roman" w:eastAsiaTheme="minorEastAsia" w:hAnsi="Times New Roman" w:cs="Times New Roman"/>
          <w:sz w:val="24"/>
          <w:szCs w:val="24"/>
          <w:lang w:eastAsia="es-ES"/>
        </w:rPr>
        <w:t xml:space="preserve">valor a la revisión porque </w:t>
      </w:r>
      <w:r w:rsidR="00BD4F06" w:rsidRPr="003013DE">
        <w:rPr>
          <w:rFonts w:ascii="Times New Roman" w:eastAsiaTheme="minorEastAsia" w:hAnsi="Times New Roman" w:cs="Times New Roman"/>
          <w:sz w:val="24"/>
          <w:szCs w:val="24"/>
          <w:lang w:eastAsia="es-ES"/>
        </w:rPr>
        <w:t>analiza</w:t>
      </w:r>
      <w:r w:rsidRPr="003013DE">
        <w:rPr>
          <w:rFonts w:ascii="Times New Roman" w:eastAsiaTheme="minorEastAsia" w:hAnsi="Times New Roman" w:cs="Times New Roman"/>
          <w:sz w:val="24"/>
          <w:szCs w:val="24"/>
          <w:lang w:eastAsia="es-ES"/>
        </w:rPr>
        <w:t xml:space="preserve"> evidencia longitudinal y clínica que sugiere no solo asociaciones sino posibles vías funcionales relevantes para la fisiopatología de EP y para diseñar intervenciones dirigidas al microbioma.</w:t>
      </w:r>
    </w:p>
    <w:p w14:paraId="165396DF" w14:textId="25985D13" w:rsidR="001C42E8" w:rsidRPr="003013DE" w:rsidRDefault="001C42E8" w:rsidP="009A797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lastRenderedPageBreak/>
        <w:t>Zhang T et al</w:t>
      </w:r>
      <w:r w:rsidR="009A7976" w:rsidRPr="003013DE">
        <w:rPr>
          <w:rFonts w:ascii="Times New Roman" w:eastAsiaTheme="minorEastAsia" w:hAnsi="Times New Roman" w:cs="Times New Roman"/>
          <w:sz w:val="24"/>
          <w:szCs w:val="24"/>
          <w:vertAlign w:val="superscript"/>
          <w:lang w:eastAsia="es-ES"/>
        </w:rPr>
        <w:t>21</w:t>
      </w:r>
      <w:r w:rsidRPr="003013DE">
        <w:rPr>
          <w:rFonts w:ascii="Times New Roman" w:eastAsiaTheme="minorEastAsia" w:hAnsi="Times New Roman" w:cs="Times New Roman"/>
          <w:sz w:val="24"/>
          <w:szCs w:val="24"/>
          <w:lang w:eastAsia="es-ES"/>
        </w:rPr>
        <w:t>. (2023), en la revisión “Gut microbiome-targeted therapies for Alzheimer’s disease”, tuvieron como objetivo resumir la evidencia preclínica y clínica sobre intervenciones dirigidas al microbioma (probióticos, prebióticos, dieta, trasplante fecal) y su efecto sobre biomarcadores y resultados cognitivos en el contexto de la enfermedad de Alzheimer.</w:t>
      </w:r>
    </w:p>
    <w:p w14:paraId="1FCF9A18" w14:textId="33C47A86" w:rsidR="001C42E8" w:rsidRPr="003013DE" w:rsidRDefault="001C42E8"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La revisión incluyó estudios in vitro, experimentos en modelos animales y ensayos clínicos </w:t>
      </w:r>
      <w:r w:rsidR="00DF434F" w:rsidRPr="003013DE">
        <w:rPr>
          <w:rFonts w:ascii="Times New Roman" w:eastAsiaTheme="minorEastAsia" w:hAnsi="Times New Roman" w:cs="Times New Roman"/>
          <w:sz w:val="24"/>
          <w:szCs w:val="24"/>
          <w:lang w:eastAsia="es-ES"/>
        </w:rPr>
        <w:t>pilotos publicados</w:t>
      </w:r>
      <w:r w:rsidRPr="003013DE">
        <w:rPr>
          <w:rFonts w:ascii="Times New Roman" w:eastAsiaTheme="minorEastAsia" w:hAnsi="Times New Roman" w:cs="Times New Roman"/>
          <w:sz w:val="24"/>
          <w:szCs w:val="24"/>
          <w:lang w:eastAsia="es-ES"/>
        </w:rPr>
        <w:t xml:space="preserve"> hasta 2023; se evaluaron los diseños, intervenciones (dosis, duración), resultados medibles (cognición, biomarcadores inflamatorios/metabólicos, carga de Aβ) y seguridad. Los autores destacaron resultados prometedores en modelos experimentales y en pequeños ensayos humanos (mejoras parciales en marcadores inflamatorios y en pruebas cognitivas en algunos ensayos), pero subrayaron la limitación de estudios clínicos con muestras pequeñas, corto seguimiento y heterogeneidad en protocolos. </w:t>
      </w:r>
      <w:r w:rsidR="00B24EEE" w:rsidRPr="003013DE">
        <w:rPr>
          <w:rFonts w:ascii="Times New Roman" w:eastAsiaTheme="minorEastAsia" w:hAnsi="Times New Roman" w:cs="Times New Roman"/>
          <w:sz w:val="24"/>
          <w:szCs w:val="24"/>
          <w:lang w:eastAsia="es-ES"/>
        </w:rPr>
        <w:t xml:space="preserve"> </w:t>
      </w:r>
    </w:p>
    <w:p w14:paraId="7FD47783" w14:textId="3E757CAD" w:rsidR="001C42E8" w:rsidRPr="003013DE" w:rsidRDefault="001C42E8"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Este antecedente </w:t>
      </w:r>
      <w:r w:rsidR="00C76749" w:rsidRPr="003013DE">
        <w:rPr>
          <w:rFonts w:ascii="Times New Roman" w:eastAsiaTheme="minorEastAsia" w:hAnsi="Times New Roman" w:cs="Times New Roman"/>
          <w:sz w:val="24"/>
          <w:szCs w:val="24"/>
          <w:lang w:eastAsia="es-ES"/>
        </w:rPr>
        <w:t xml:space="preserve">permite </w:t>
      </w:r>
      <w:r w:rsidRPr="003013DE">
        <w:rPr>
          <w:rFonts w:ascii="Times New Roman" w:eastAsiaTheme="minorEastAsia" w:hAnsi="Times New Roman" w:cs="Times New Roman"/>
          <w:sz w:val="24"/>
          <w:szCs w:val="24"/>
          <w:lang w:eastAsia="es-ES"/>
        </w:rPr>
        <w:t>identifica</w:t>
      </w:r>
      <w:r w:rsidR="00C76749" w:rsidRPr="003013DE">
        <w:rPr>
          <w:rFonts w:ascii="Times New Roman" w:eastAsiaTheme="minorEastAsia" w:hAnsi="Times New Roman" w:cs="Times New Roman"/>
          <w:sz w:val="24"/>
          <w:szCs w:val="24"/>
          <w:lang w:eastAsia="es-ES"/>
        </w:rPr>
        <w:t>r</w:t>
      </w:r>
      <w:r w:rsidRPr="003013DE">
        <w:rPr>
          <w:rFonts w:ascii="Times New Roman" w:eastAsiaTheme="minorEastAsia" w:hAnsi="Times New Roman" w:cs="Times New Roman"/>
          <w:sz w:val="24"/>
          <w:szCs w:val="24"/>
          <w:lang w:eastAsia="es-ES"/>
        </w:rPr>
        <w:t xml:space="preserve"> qué </w:t>
      </w:r>
      <w:r w:rsidR="000F4F22" w:rsidRPr="003013DE">
        <w:rPr>
          <w:rFonts w:ascii="Times New Roman" w:eastAsiaTheme="minorEastAsia" w:hAnsi="Times New Roman" w:cs="Times New Roman"/>
          <w:sz w:val="24"/>
          <w:szCs w:val="24"/>
          <w:lang w:eastAsia="es-ES"/>
        </w:rPr>
        <w:t xml:space="preserve">las </w:t>
      </w:r>
      <w:r w:rsidRPr="003013DE">
        <w:rPr>
          <w:rFonts w:ascii="Times New Roman" w:eastAsiaTheme="minorEastAsia" w:hAnsi="Times New Roman" w:cs="Times New Roman"/>
          <w:sz w:val="24"/>
          <w:szCs w:val="24"/>
          <w:lang w:eastAsia="es-ES"/>
        </w:rPr>
        <w:t xml:space="preserve">intervenciones </w:t>
      </w:r>
      <w:r w:rsidR="000F4F22" w:rsidRPr="003013DE">
        <w:rPr>
          <w:rFonts w:ascii="Times New Roman" w:eastAsiaTheme="minorEastAsia" w:hAnsi="Times New Roman" w:cs="Times New Roman"/>
          <w:sz w:val="24"/>
          <w:szCs w:val="24"/>
          <w:lang w:eastAsia="es-ES"/>
        </w:rPr>
        <w:t xml:space="preserve">en </w:t>
      </w:r>
      <w:bookmarkStart w:id="22" w:name="_Int_0vCqVV8i"/>
      <w:r w:rsidR="000F4F22" w:rsidRPr="003013DE">
        <w:rPr>
          <w:rFonts w:ascii="Times New Roman" w:eastAsiaTheme="minorEastAsia" w:hAnsi="Times New Roman" w:cs="Times New Roman"/>
          <w:sz w:val="24"/>
          <w:szCs w:val="24"/>
          <w:lang w:eastAsia="es-ES"/>
        </w:rPr>
        <w:t>la microbiota</w:t>
      </w:r>
      <w:bookmarkEnd w:id="22"/>
      <w:r w:rsidR="000F4F22"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muestran mayor potencial y qué limitaciones metodológicas deben resolverse mediante ensayos clínicos aleatorizados bien diseñados.</w:t>
      </w:r>
    </w:p>
    <w:p w14:paraId="52D14FE3" w14:textId="232F37C6" w:rsidR="001C42E8" w:rsidRPr="003013DE" w:rsidRDefault="001C42E8"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Gao C et al</w:t>
      </w:r>
      <w:r w:rsidR="009A7976" w:rsidRPr="003013DE">
        <w:rPr>
          <w:rFonts w:ascii="Times New Roman" w:eastAsiaTheme="minorEastAsia" w:hAnsi="Times New Roman" w:cs="Times New Roman"/>
          <w:sz w:val="24"/>
          <w:szCs w:val="24"/>
          <w:vertAlign w:val="superscript"/>
          <w:lang w:eastAsia="es-ES"/>
        </w:rPr>
        <w:t>22</w:t>
      </w:r>
      <w:r w:rsidRPr="003013DE">
        <w:rPr>
          <w:rFonts w:ascii="Times New Roman" w:eastAsiaTheme="minorEastAsia" w:hAnsi="Times New Roman" w:cs="Times New Roman"/>
          <w:sz w:val="24"/>
          <w:szCs w:val="24"/>
          <w:lang w:eastAsia="es-ES"/>
        </w:rPr>
        <w:t>. (2023), en el estudio “Early changes of fecal short-chain fatty acid levels in patients with mild cognitive impairment”, tuvieron como objetivo comparar los niveles fecales de AGCC entre pacientes con deterioro cognitivo leve (MCI) y controles sanos, explorando si cambios tempranos en metabolitos microbianos se asocian con alteraciones cognitivas relevantes para fases preclínicas de enfermedad neurodegenerativa.</w:t>
      </w:r>
    </w:p>
    <w:p w14:paraId="42F28D7C" w14:textId="5EB97054" w:rsidR="001C42E8" w:rsidRPr="003013DE" w:rsidRDefault="0051751E" w:rsidP="001215BE">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El estudio fue de tipo </w:t>
      </w:r>
      <w:r w:rsidR="001C42E8" w:rsidRPr="003013DE">
        <w:rPr>
          <w:rFonts w:ascii="Times New Roman" w:eastAsiaTheme="minorEastAsia" w:hAnsi="Times New Roman" w:cs="Times New Roman"/>
          <w:sz w:val="24"/>
          <w:szCs w:val="24"/>
          <w:lang w:eastAsia="es-ES"/>
        </w:rPr>
        <w:t>observacional comparativo en adultos mayores diagnosticados con MCI frente a controles emparejados por edad y sexo; las muestras fecales se analizaron por cromatografía/masa para cuantificar AGCC (acetato, propionato, butirato). Se analizaron correlaciones entre niveles de AGCC y pruebas neuropsicológicas; además se controlaron variables confusoras como dieta reciente y uso de antibióticos. El estudio encontró diferencias en perfiles de AGCC entre MCI y controles, sugiriendo alteraciones metabólicas tempranas asociadas a deterioro cognitivo. </w:t>
      </w:r>
      <w:r w:rsidR="00FB6295" w:rsidRPr="003013DE">
        <w:rPr>
          <w:rFonts w:ascii="Times New Roman" w:eastAsiaTheme="minorEastAsia" w:hAnsi="Times New Roman" w:cs="Times New Roman"/>
          <w:sz w:val="24"/>
          <w:szCs w:val="24"/>
          <w:lang w:eastAsia="es-ES"/>
        </w:rPr>
        <w:t xml:space="preserve"> </w:t>
      </w:r>
    </w:p>
    <w:p w14:paraId="009CEBC4" w14:textId="7FEDF31F" w:rsidR="0017579E" w:rsidRPr="003013DE" w:rsidRDefault="00603CF5" w:rsidP="003F7B7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lastRenderedPageBreak/>
        <w:t xml:space="preserve">Se considera relevante </w:t>
      </w:r>
      <w:r w:rsidR="001C42E8" w:rsidRPr="003013DE">
        <w:rPr>
          <w:rFonts w:ascii="Times New Roman" w:eastAsiaTheme="minorEastAsia" w:hAnsi="Times New Roman" w:cs="Times New Roman"/>
          <w:sz w:val="24"/>
          <w:szCs w:val="24"/>
          <w:lang w:eastAsia="es-ES"/>
        </w:rPr>
        <w:t>porque aporta evidencia humana sobre metabolitos microbianos, apoyando la noción de que cambios funcionales en la producción de AGCC pueden ocurrir en fases tempranas del deterioro cognitivo y podrían servir como biomarcadores o dianas terapéuticas.</w:t>
      </w:r>
    </w:p>
    <w:p w14:paraId="429CC45F" w14:textId="5FBF49AD" w:rsidR="00575FB0" w:rsidRPr="003013DE" w:rsidRDefault="00575FB0"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Hung CC et al</w:t>
      </w:r>
      <w:r w:rsidR="00AB1589" w:rsidRPr="003013DE">
        <w:rPr>
          <w:rFonts w:ascii="Times New Roman" w:eastAsiaTheme="minorEastAsia" w:hAnsi="Times New Roman" w:cs="Times New Roman"/>
          <w:sz w:val="24"/>
          <w:szCs w:val="24"/>
          <w:vertAlign w:val="superscript"/>
          <w:lang w:eastAsia="es-ES"/>
        </w:rPr>
        <w:t>23</w:t>
      </w:r>
      <w:r w:rsidRPr="003013DE">
        <w:rPr>
          <w:rFonts w:ascii="Times New Roman" w:eastAsiaTheme="minorEastAsia" w:hAnsi="Times New Roman" w:cs="Times New Roman"/>
          <w:sz w:val="24"/>
          <w:szCs w:val="24"/>
          <w:lang w:eastAsia="es-ES"/>
        </w:rPr>
        <w:t>. (2022), en su estudio titulado </w:t>
      </w:r>
      <w:r w:rsidRPr="003013DE">
        <w:rPr>
          <w:rFonts w:ascii="Times New Roman" w:eastAsiaTheme="minorEastAsia" w:hAnsi="Times New Roman" w:cs="Times New Roman"/>
          <w:i/>
          <w:iCs/>
          <w:sz w:val="24"/>
          <w:szCs w:val="24"/>
          <w:lang w:eastAsia="es-ES"/>
        </w:rPr>
        <w:t>“Gut microbiota in patients with Alzheimer’s disease spectrum: a systematic review and meta-analysis”</w:t>
      </w:r>
      <w:r w:rsidRPr="003013DE">
        <w:rPr>
          <w:rFonts w:ascii="Times New Roman" w:eastAsiaTheme="minorEastAsia" w:hAnsi="Times New Roman" w:cs="Times New Roman"/>
          <w:sz w:val="24"/>
          <w:szCs w:val="24"/>
          <w:lang w:eastAsia="es-ES"/>
        </w:rPr>
        <w:t>, tuvieron como objetivo general sintetizar mediante revisión sistemática y metaanálisis las diferencias en la composición del microbioma fecal entre individuos con espectro de enfermedad de Alzheimer (incluyendo deterioro cognitivo leve) y controles sanos, y evaluar el efecto de país y etapa clínica sobre dichas diferencias.</w:t>
      </w:r>
    </w:p>
    <w:p w14:paraId="132653CB" w14:textId="5C2A8A2A" w:rsidR="00575FB0" w:rsidRPr="003013DE" w:rsidRDefault="00575FB0"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Se realizó una búsqueda bibliográfica exhaustiva en PubMed/MEDLINE, Scopus y Cochrane hasta agosto de 2021, e incluyeron estudios observacionales y datos pre-intervención de ensayos que evaluaban abundancias microbianas en heces (n total agrupado: 805 sujetos en los estudios incluidos). Los análisis combinaron medidas de diversidad (α, β) y abundancias relativas por taxones mediante modelos de efectos aleatorios; además se exploró la moderación por país y por estadio clínico (MCI vs AD). Encontraron que pacientes con AD (pero no MCI) mostraban disminución de diversidad microbiana y cambios en abundancias (mayor Proteobacteria, Bifidobacterium y Phascolarctobacterium; menor Firmicutes, Clostridiaceae, Lachnospiraceae y Rikenellaceae), con variaciones dependientes de la región geográfica. </w:t>
      </w:r>
      <w:r w:rsidR="001641F0" w:rsidRPr="003013DE">
        <w:rPr>
          <w:rFonts w:ascii="Times New Roman" w:eastAsiaTheme="minorEastAsia" w:hAnsi="Times New Roman" w:cs="Times New Roman"/>
          <w:sz w:val="24"/>
          <w:szCs w:val="24"/>
          <w:lang w:eastAsia="es-ES"/>
        </w:rPr>
        <w:t xml:space="preserve"> </w:t>
      </w:r>
    </w:p>
    <w:p w14:paraId="25977DC3" w14:textId="211D8DC9" w:rsidR="00575FB0" w:rsidRPr="003013DE" w:rsidRDefault="00330CD3"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En particular en este antecedente se evidencia la </w:t>
      </w:r>
      <w:r w:rsidR="00575FB0" w:rsidRPr="003013DE">
        <w:rPr>
          <w:rFonts w:ascii="Times New Roman" w:eastAsiaTheme="minorEastAsia" w:hAnsi="Times New Roman" w:cs="Times New Roman"/>
          <w:sz w:val="24"/>
          <w:szCs w:val="24"/>
          <w:lang w:eastAsia="es-ES"/>
        </w:rPr>
        <w:t>la existencia de patrones reproducibles de disbiosis asociados con la fase clínica de la enfermedad, subrayando la importancia de considerar la heterogeneidad geográfica y la necesidad de estudios estandarizados (metodología de muestreo y análisis) para validar perfiles microbianos como biomarcadores diagnósticos o pronósticos.</w:t>
      </w:r>
    </w:p>
    <w:p w14:paraId="6982B685" w14:textId="0FE82932" w:rsidR="00575FB0" w:rsidRPr="003013DE" w:rsidRDefault="00575FB0"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Scheperjans F et al</w:t>
      </w:r>
      <w:r w:rsidR="00A62D0F" w:rsidRPr="003013DE">
        <w:rPr>
          <w:rFonts w:ascii="Times New Roman" w:eastAsiaTheme="minorEastAsia" w:hAnsi="Times New Roman" w:cs="Times New Roman"/>
          <w:sz w:val="24"/>
          <w:szCs w:val="24"/>
          <w:vertAlign w:val="superscript"/>
          <w:lang w:eastAsia="es-ES"/>
        </w:rPr>
        <w:t>24</w:t>
      </w:r>
      <w:r w:rsidRPr="003013DE">
        <w:rPr>
          <w:rFonts w:ascii="Times New Roman" w:eastAsiaTheme="minorEastAsia" w:hAnsi="Times New Roman" w:cs="Times New Roman"/>
          <w:sz w:val="24"/>
          <w:szCs w:val="24"/>
          <w:lang w:eastAsia="es-ES"/>
        </w:rPr>
        <w:t>. (2024), en el ensayo aleatorizado y controlado titulado </w:t>
      </w:r>
      <w:r w:rsidRPr="003013DE">
        <w:rPr>
          <w:rFonts w:ascii="Times New Roman" w:eastAsiaTheme="minorEastAsia" w:hAnsi="Times New Roman" w:cs="Times New Roman"/>
          <w:i/>
          <w:iCs/>
          <w:sz w:val="24"/>
          <w:szCs w:val="24"/>
          <w:lang w:eastAsia="es-ES"/>
        </w:rPr>
        <w:t>“Fecal Microbiota Transplantation for Treatment of Parkinson Disease: A Randomized Clinical Trial”</w:t>
      </w:r>
      <w:r w:rsidRPr="003013DE">
        <w:rPr>
          <w:rFonts w:ascii="Times New Roman" w:eastAsiaTheme="minorEastAsia" w:hAnsi="Times New Roman" w:cs="Times New Roman"/>
          <w:sz w:val="24"/>
          <w:szCs w:val="24"/>
          <w:lang w:eastAsia="es-ES"/>
        </w:rPr>
        <w:t xml:space="preserve"> (JAMA Neurol 2024), tuvieron como objetivo evaluar la seguridad y la eficacia </w:t>
      </w:r>
      <w:r w:rsidRPr="003013DE">
        <w:rPr>
          <w:rFonts w:ascii="Times New Roman" w:eastAsiaTheme="minorEastAsia" w:hAnsi="Times New Roman" w:cs="Times New Roman"/>
          <w:sz w:val="24"/>
          <w:szCs w:val="24"/>
          <w:lang w:eastAsia="es-ES"/>
        </w:rPr>
        <w:lastRenderedPageBreak/>
        <w:t>sintomática de un trasplante fecal único frente a placebo en pacientes con enfermedad de Parkinson y disbiosis fecal.</w:t>
      </w:r>
    </w:p>
    <w:p w14:paraId="56A10686" w14:textId="73C46541" w:rsidR="00575FB0" w:rsidRPr="003013DE" w:rsidRDefault="00575FB0"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estudio fue un ensayo doble-ciego, placebo-controlado, aleatorizado llevado a cabo en cuatro hospitales. Se incluyeron 47 pacientes tratados (n = 30 FMT; n = 15 placebo) con seguimiento hasta 12 meses; se evaluaron resultados primarios y secundarios clínicos (MDS-UPDRS, MoCA, síntomas no motores) y variables relacionadas con el microbioma y eventos adversos. El FMT fue seguro (principalmente eventos gastrointestinales transitorios), indujo cambios dependientes del donador en la composición microbiana, pero no produjo mejoras clínicas significativas superiores a placebo en los end points principales; los autores discuten hallazgos de efecto placebo y la necesidad de refinar protocolos (frecuencia de dosis, preparación, selección de donantes). </w:t>
      </w:r>
      <w:r w:rsidR="001641F0" w:rsidRPr="003013DE">
        <w:rPr>
          <w:rFonts w:ascii="Times New Roman" w:eastAsiaTheme="minorEastAsia" w:hAnsi="Times New Roman" w:cs="Times New Roman"/>
          <w:sz w:val="24"/>
          <w:szCs w:val="24"/>
          <w:lang w:eastAsia="es-ES"/>
        </w:rPr>
        <w:t xml:space="preserve"> </w:t>
      </w:r>
    </w:p>
    <w:p w14:paraId="3ABF7B0C" w14:textId="2BDC96B9" w:rsidR="00575FB0" w:rsidRPr="003013DE" w:rsidRDefault="00877506"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Se incluye este artículo porque </w:t>
      </w:r>
      <w:r w:rsidR="00575FB0" w:rsidRPr="003013DE">
        <w:rPr>
          <w:rFonts w:ascii="Times New Roman" w:eastAsiaTheme="minorEastAsia" w:hAnsi="Times New Roman" w:cs="Times New Roman"/>
          <w:sz w:val="24"/>
          <w:szCs w:val="24"/>
          <w:lang w:eastAsia="es-ES"/>
        </w:rPr>
        <w:t>aporta evidencia clínica aleatorizada sobre la factibilidad y seguridad del FMT en enfermedad neurodegenerativa (PD), pero también recalca la complejidad de trasladar resultados prometedores preclínicos a beneficios clínicos consistentes en humanos, señalando variables críticas (composición del donante, regimen de administración, selección de pacientes) para ensayos futuros.</w:t>
      </w:r>
    </w:p>
    <w:p w14:paraId="17AEBCF8" w14:textId="6F178133" w:rsidR="006F09E9" w:rsidRPr="003013DE" w:rsidRDefault="00575FB0"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Qian X-H et al</w:t>
      </w:r>
      <w:r w:rsidR="00A62D0F" w:rsidRPr="003013DE">
        <w:rPr>
          <w:rFonts w:ascii="Times New Roman" w:eastAsiaTheme="minorEastAsia" w:hAnsi="Times New Roman" w:cs="Times New Roman"/>
          <w:sz w:val="24"/>
          <w:szCs w:val="24"/>
          <w:vertAlign w:val="superscript"/>
          <w:lang w:eastAsia="es-ES"/>
        </w:rPr>
        <w:t>25</w:t>
      </w:r>
      <w:r w:rsidRPr="003013DE">
        <w:rPr>
          <w:rFonts w:ascii="Times New Roman" w:eastAsiaTheme="minorEastAsia" w:hAnsi="Times New Roman" w:cs="Times New Roman"/>
          <w:sz w:val="24"/>
          <w:szCs w:val="24"/>
          <w:lang w:eastAsia="es-ES"/>
        </w:rPr>
        <w:t>. (2022), en la revisión titulada </w:t>
      </w:r>
      <w:r w:rsidRPr="003013DE">
        <w:rPr>
          <w:rFonts w:ascii="Times New Roman" w:eastAsiaTheme="minorEastAsia" w:hAnsi="Times New Roman" w:cs="Times New Roman"/>
          <w:i/>
          <w:iCs/>
          <w:sz w:val="24"/>
          <w:szCs w:val="24"/>
          <w:lang w:eastAsia="es-ES"/>
        </w:rPr>
        <w:t>“Mechanisms of Short-Chain Fatty Acids Derived from Gut Microbiota in Alzheimer’s Disease”</w:t>
      </w:r>
      <w:r w:rsidRPr="003013DE">
        <w:rPr>
          <w:rFonts w:ascii="Times New Roman" w:eastAsiaTheme="minorEastAsia" w:hAnsi="Times New Roman" w:cs="Times New Roman"/>
          <w:sz w:val="24"/>
          <w:szCs w:val="24"/>
          <w:lang w:eastAsia="es-ES"/>
        </w:rPr>
        <w:t> (Aging Dis 2022), tuvieron como objetivo sintetizar y explicar los mecanismos por los cuales los AGCC metabolitos microbianos clave</w:t>
      </w:r>
      <w:r w:rsidR="00DF48F7"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pueden influir en la fisiopatología de la enfermedad de Alzheimer.</w:t>
      </w:r>
    </w:p>
    <w:p w14:paraId="6B5DB982" w14:textId="301E5BA6" w:rsidR="00575FB0" w:rsidRPr="003013DE" w:rsidRDefault="00575FB0" w:rsidP="006F09E9">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Esta revisión integró evidencia preclínica y clínica sobre vías por las que AGCC (butirato, propionato, acetato) pueden modular procesos relevantes para AD: regulación epigenética (inhibición de HDAC), modulacion de la microglía y neuroinflamación, mantenimiento de la integridad de la barrera hematoencefálica, efectos sobre metabolismo neuronal y posible influencia en agregación proteica (Aβ). Los autores presentaron datos experimentales que sostienen roles pleiotrópicos de los AGCC y discutieron implicaciones para intervenciones dietéticas o farmacológicas orientadas a restaurar niveles adecuados de estos metabolitos.  </w:t>
      </w:r>
    </w:p>
    <w:p w14:paraId="498CA005" w14:textId="4337836E" w:rsidR="00C45820" w:rsidRPr="003013DE" w:rsidRDefault="00575FB0" w:rsidP="007D3E21">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lastRenderedPageBreak/>
        <w:t xml:space="preserve">Este antecedente contribuye al marco teórico funcional de la revisión, al conectar metabolitos microbianos concretos con mecanismos celulares y moleculares implicados en neurodegeneración; refuerza la conveniencia de incluir mediciones metabolómicas </w:t>
      </w:r>
      <w:r w:rsidR="002B4A5C" w:rsidRPr="003013DE">
        <w:rPr>
          <w:rFonts w:ascii="Times New Roman" w:eastAsiaTheme="minorEastAsia" w:hAnsi="Times New Roman" w:cs="Times New Roman"/>
          <w:sz w:val="24"/>
          <w:szCs w:val="24"/>
          <w:lang w:eastAsia="es-ES"/>
        </w:rPr>
        <w:t>e</w:t>
      </w:r>
      <w:r w:rsidRPr="003013DE">
        <w:rPr>
          <w:rFonts w:ascii="Times New Roman" w:eastAsiaTheme="minorEastAsia" w:hAnsi="Times New Roman" w:cs="Times New Roman"/>
          <w:sz w:val="24"/>
          <w:szCs w:val="24"/>
          <w:lang w:eastAsia="es-ES"/>
        </w:rPr>
        <w:t>n estudios humanos y de priorizar ensayos que evalúen moduladores de AGCC como posibles abordajes terapéuticos.</w:t>
      </w:r>
    </w:p>
    <w:p w14:paraId="5119704C" w14:textId="1B22D09D" w:rsidR="007B051C" w:rsidRPr="003013DE" w:rsidRDefault="00FE32A4" w:rsidP="0008506B">
      <w:pPr>
        <w:pStyle w:val="Ttulo2"/>
        <w:rPr>
          <w:rFonts w:ascii="Times New Roman" w:hAnsi="Times New Roman" w:cs="Times New Roman"/>
          <w:b/>
          <w:bCs/>
          <w:color w:val="auto"/>
          <w:sz w:val="24"/>
          <w:szCs w:val="24"/>
          <w:lang w:val="es-ES"/>
        </w:rPr>
      </w:pPr>
      <w:bookmarkStart w:id="23" w:name="_Toc223177119"/>
      <w:r w:rsidRPr="003013DE">
        <w:rPr>
          <w:rFonts w:ascii="Times New Roman" w:hAnsi="Times New Roman" w:cs="Times New Roman"/>
          <w:b/>
          <w:bCs/>
          <w:color w:val="auto"/>
          <w:sz w:val="24"/>
          <w:szCs w:val="24"/>
          <w:lang w:val="es-ES"/>
        </w:rPr>
        <w:t>1.5.3 Antecedentes nacionales</w:t>
      </w:r>
      <w:bookmarkEnd w:id="23"/>
    </w:p>
    <w:p w14:paraId="64CA9CEC" w14:textId="1DDE03AF" w:rsidR="00C322F3" w:rsidRPr="003013DE" w:rsidRDefault="00F56D78"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López JA</w:t>
      </w:r>
      <w:r w:rsidRPr="003013DE">
        <w:rPr>
          <w:rFonts w:ascii="Times New Roman" w:hAnsi="Times New Roman" w:cs="Times New Roman"/>
          <w:sz w:val="24"/>
          <w:szCs w:val="24"/>
          <w:vertAlign w:val="superscript"/>
          <w:lang w:val="es-ES"/>
        </w:rPr>
        <w:t>26</w:t>
      </w:r>
      <w:r w:rsidR="00C322F3" w:rsidRPr="003013DE">
        <w:rPr>
          <w:rFonts w:ascii="Times New Roman" w:hAnsi="Times New Roman" w:cs="Times New Roman"/>
          <w:sz w:val="24"/>
          <w:szCs w:val="24"/>
          <w:lang w:val="es-ES"/>
        </w:rPr>
        <w:t xml:space="preserve"> (2024), en su trabajo titulado “Rol </w:t>
      </w:r>
      <w:bookmarkStart w:id="24" w:name="_Int_rx2Ot0UN"/>
      <w:r w:rsidR="00C322F3" w:rsidRPr="003013DE">
        <w:rPr>
          <w:rFonts w:ascii="Times New Roman" w:hAnsi="Times New Roman" w:cs="Times New Roman"/>
          <w:sz w:val="24"/>
          <w:szCs w:val="24"/>
          <w:lang w:val="es-ES"/>
        </w:rPr>
        <w:t>de la microbiota intestinal</w:t>
      </w:r>
      <w:bookmarkEnd w:id="24"/>
      <w:r w:rsidR="00C322F3" w:rsidRPr="003013DE">
        <w:rPr>
          <w:rFonts w:ascii="Times New Roman" w:hAnsi="Times New Roman" w:cs="Times New Roman"/>
          <w:sz w:val="24"/>
          <w:szCs w:val="24"/>
          <w:lang w:val="es-ES"/>
        </w:rPr>
        <w:t xml:space="preserve"> en la función cognitiva de los adultos mayores”, tuvo como objetivo general analizar la relación entre cambios en </w:t>
      </w:r>
      <w:r w:rsidR="00F5345B" w:rsidRPr="003013DE">
        <w:rPr>
          <w:rFonts w:ascii="Times New Roman" w:hAnsi="Times New Roman" w:cs="Times New Roman"/>
          <w:sz w:val="24"/>
          <w:szCs w:val="24"/>
          <w:lang w:val="es-ES"/>
        </w:rPr>
        <w:t>el microbiota intestinal</w:t>
      </w:r>
      <w:r w:rsidR="00C322F3" w:rsidRPr="003013DE">
        <w:rPr>
          <w:rFonts w:ascii="Times New Roman" w:hAnsi="Times New Roman" w:cs="Times New Roman"/>
          <w:sz w:val="24"/>
          <w:szCs w:val="24"/>
          <w:lang w:val="es-ES"/>
        </w:rPr>
        <w:t xml:space="preserve"> y los indicadores de función cognitiva en población adulta mayor, así como sintetizar la evidencia nacional e internacional disponible para identificar posibles implicaciones terapéuticas y preventivas.</w:t>
      </w:r>
    </w:p>
    <w:p w14:paraId="454FB3AE" w14:textId="65AE3864"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Se trató de una revisión narrativa/tesis de grado (Universidad de Costa Rica) que recopiló estudios clínicos, experimentales y observacionales publicados entre 2010 y 2024, empleando búsquedas en PubMed, Scopus, SciELO y repositorios nacionales; además describió factores locales (dieta, polifarmacia, comorbilidades) que pueden condicionar </w:t>
      </w:r>
      <w:r w:rsidR="00F5345B" w:rsidRPr="003013DE">
        <w:rPr>
          <w:rFonts w:ascii="Times New Roman" w:hAnsi="Times New Roman" w:cs="Times New Roman"/>
          <w:sz w:val="24"/>
          <w:szCs w:val="24"/>
          <w:lang w:val="es-ES"/>
        </w:rPr>
        <w:t>el microbiota</w:t>
      </w:r>
      <w:r w:rsidRPr="003013DE">
        <w:rPr>
          <w:rFonts w:ascii="Times New Roman" w:hAnsi="Times New Roman" w:cs="Times New Roman"/>
          <w:sz w:val="24"/>
          <w:szCs w:val="24"/>
          <w:lang w:val="es-ES"/>
        </w:rPr>
        <w:t xml:space="preserve"> en adultos mayores costarricenses. Se incluyeron análisis críticos sobre técnicas de muestreo, limitaciones metodológicas y propuestas para estudios longitudinales en población nacional.</w:t>
      </w:r>
    </w:p>
    <w:p w14:paraId="0E15D42B"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Este antecedente aporta evidencia contextualizada que justifica la necesidad de estudios locales prospectivos en adultos mayores costarricenses —no solo descriptivos del microbioma sino integrando metabolómica y medidas cognitivas estandarizadas— y respalda la pertinencia de evaluar intervenciones dietarias o probióticas adaptadas a patrones alimentarios del país.</w:t>
      </w:r>
    </w:p>
    <w:p w14:paraId="6CA88959" w14:textId="305501D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Morales KC</w:t>
      </w:r>
      <w:r w:rsidR="00F56D78" w:rsidRPr="003013DE">
        <w:rPr>
          <w:rFonts w:ascii="Times New Roman" w:hAnsi="Times New Roman" w:cs="Times New Roman"/>
          <w:sz w:val="24"/>
          <w:szCs w:val="24"/>
          <w:vertAlign w:val="superscript"/>
          <w:lang w:val="es-ES"/>
        </w:rPr>
        <w:t>27</w:t>
      </w:r>
      <w:r w:rsidRPr="003013DE">
        <w:rPr>
          <w:rFonts w:ascii="Times New Roman" w:hAnsi="Times New Roman" w:cs="Times New Roman"/>
          <w:sz w:val="24"/>
          <w:szCs w:val="24"/>
          <w:lang w:val="es-ES"/>
        </w:rPr>
        <w:t xml:space="preserve"> (2022), en el artículo “Microbiota intestinal y su influencia en el comportamiento” publicado en la Revista Ciencia y Salud (UCR), tuvo como objetivo describir las evidencias sobre cómo las modificaciones en </w:t>
      </w:r>
      <w:r w:rsidR="005E2390" w:rsidRPr="003013DE">
        <w:rPr>
          <w:rFonts w:ascii="Times New Roman" w:hAnsi="Times New Roman" w:cs="Times New Roman"/>
          <w:sz w:val="24"/>
          <w:szCs w:val="24"/>
          <w:lang w:val="es-ES"/>
        </w:rPr>
        <w:t>el microbiota intestinal</w:t>
      </w:r>
      <w:r w:rsidRPr="003013DE">
        <w:rPr>
          <w:rFonts w:ascii="Times New Roman" w:hAnsi="Times New Roman" w:cs="Times New Roman"/>
          <w:sz w:val="24"/>
          <w:szCs w:val="24"/>
          <w:lang w:val="es-ES"/>
        </w:rPr>
        <w:t xml:space="preserve"> pueden influir en conductas relacionadas con ansiedad, estrés y funciones cognitivas.</w:t>
      </w:r>
    </w:p>
    <w:p w14:paraId="4EDB605E"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La publicación consistió en una revisión bibliográfica que integró resultados experimentales (modelos animales) y estudios clínicos en humanos hasta 2022; se abordaron </w:t>
      </w:r>
      <w:r w:rsidRPr="003013DE">
        <w:rPr>
          <w:rFonts w:ascii="Times New Roman" w:hAnsi="Times New Roman" w:cs="Times New Roman"/>
          <w:sz w:val="24"/>
          <w:szCs w:val="24"/>
          <w:lang w:val="es-ES"/>
        </w:rPr>
        <w:lastRenderedPageBreak/>
        <w:t>vías de señalización (vagal, inmune, metabólica), el papel de metabolitos microbianos (AGCC) y la relación entre disbiosis y alteraciones comportamentales. Se discutieron además implicaciones para intervenciones no farmacológicas (ejercicio, dieta, psicobióticos).</w:t>
      </w:r>
    </w:p>
    <w:p w14:paraId="72C7D7C3"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Este antecedente nacional resume y adapta la evidencia internacional al contexto clínico y académico costarricense, resaltando la relevancia de considerar variables locales (dieta, nivel socioeconómico, acceso a salud mental) en futuros estudios que vinculen microbiota y salud mental o cognitiva.</w:t>
      </w:r>
    </w:p>
    <w:p w14:paraId="750706E0" w14:textId="0181FAB6"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Matamoros M</w:t>
      </w:r>
      <w:r w:rsidR="00332388" w:rsidRPr="003013DE">
        <w:rPr>
          <w:rFonts w:ascii="Times New Roman" w:hAnsi="Times New Roman" w:cs="Times New Roman"/>
          <w:sz w:val="24"/>
          <w:szCs w:val="24"/>
          <w:vertAlign w:val="superscript"/>
          <w:lang w:val="es-ES"/>
        </w:rPr>
        <w:t>28</w:t>
      </w:r>
      <w:r w:rsidRPr="003013DE">
        <w:rPr>
          <w:rFonts w:ascii="Times New Roman" w:hAnsi="Times New Roman" w:cs="Times New Roman"/>
          <w:sz w:val="24"/>
          <w:szCs w:val="24"/>
          <w:lang w:val="es-ES"/>
        </w:rPr>
        <w:t xml:space="preserve"> (2023), en la tesis “Efectos </w:t>
      </w:r>
      <w:bookmarkStart w:id="25" w:name="_Int_Zomrlk3O"/>
      <w:r w:rsidRPr="003013DE">
        <w:rPr>
          <w:rFonts w:ascii="Times New Roman" w:hAnsi="Times New Roman" w:cs="Times New Roman"/>
          <w:sz w:val="24"/>
          <w:szCs w:val="24"/>
          <w:lang w:val="es-ES"/>
        </w:rPr>
        <w:t>de la microbiota intestinal</w:t>
      </w:r>
      <w:bookmarkEnd w:id="25"/>
      <w:r w:rsidRPr="003013DE">
        <w:rPr>
          <w:rFonts w:ascii="Times New Roman" w:hAnsi="Times New Roman" w:cs="Times New Roman"/>
          <w:sz w:val="24"/>
          <w:szCs w:val="24"/>
          <w:lang w:val="es-ES"/>
        </w:rPr>
        <w:t xml:space="preserve"> sobre la neuroquímica de los trastornos del espectro autista”, tuvo como objetivo explorar la evidencia experimental y clínica sobre cómo </w:t>
      </w:r>
      <w:bookmarkStart w:id="26" w:name="_Int_4fxOv279"/>
      <w:r w:rsidRPr="003013DE">
        <w:rPr>
          <w:rFonts w:ascii="Times New Roman" w:hAnsi="Times New Roman" w:cs="Times New Roman"/>
          <w:sz w:val="24"/>
          <w:szCs w:val="24"/>
          <w:lang w:val="es-ES"/>
        </w:rPr>
        <w:t>la microbiota intestinal</w:t>
      </w:r>
      <w:bookmarkEnd w:id="26"/>
      <w:r w:rsidRPr="003013DE">
        <w:rPr>
          <w:rFonts w:ascii="Times New Roman" w:hAnsi="Times New Roman" w:cs="Times New Roman"/>
          <w:sz w:val="24"/>
          <w:szCs w:val="24"/>
          <w:lang w:val="es-ES"/>
        </w:rPr>
        <w:t xml:space="preserve"> puede influir en marcadores neuroquímicos y conductuales asociados al espectro autista.</w:t>
      </w:r>
    </w:p>
    <w:p w14:paraId="6D692642"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La tesis (Universidad de Costa Rica / repositorio KIMUK-CONARE) utilizó una revisión sistemática narrativa de la literatura y análisis crítico de estudios preclínicos y clínicos, describiendo mecanismos (modulación de neurotransmisores, permeabilidad intestinal, metabolitos microbianos) y señalando limitaciones metodológicas en los trabajos revisados; además propuso líneas de investigación locales para validar hallazgos en población latinoamericana.</w:t>
      </w:r>
    </w:p>
    <w:p w14:paraId="3960D153"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Este antecedente es relevante para la revisión porque extiende la aplicabilidad del eje microbiota-intestino-cerebro a trastornos del desarrollo neurológico y aporta marcos metodológicos (integración de biomarcadores neuroquímicos con análisis microbianos) que pueden adaptarse a estudios sobre neurodegeneración en adultos mayores.</w:t>
      </w:r>
    </w:p>
    <w:p w14:paraId="15B751E0" w14:textId="5F3EBF60"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Collado AM</w:t>
      </w:r>
      <w:r w:rsidR="00332388" w:rsidRPr="003013DE">
        <w:rPr>
          <w:rFonts w:ascii="Times New Roman" w:hAnsi="Times New Roman" w:cs="Times New Roman"/>
          <w:sz w:val="24"/>
          <w:szCs w:val="24"/>
          <w:vertAlign w:val="superscript"/>
          <w:lang w:val="es-ES"/>
        </w:rPr>
        <w:t>29</w:t>
      </w:r>
      <w:r w:rsidRPr="003013DE">
        <w:rPr>
          <w:rFonts w:ascii="Times New Roman" w:hAnsi="Times New Roman" w:cs="Times New Roman"/>
          <w:sz w:val="24"/>
          <w:szCs w:val="24"/>
          <w:lang w:val="es-ES"/>
        </w:rPr>
        <w:t xml:space="preserve"> (2024), en la tesis titulada “Rol de la disbiosis intestinal en la génesis del trastorno depresivo: evidencia actual”, se propuso sintetizar la literatura científica sobre relaciones entre disbiosis, marcadores inflamatorios y sintomatología depresiva, con énfasis en implicaciones terapéuticas y en la traducción clínica para el contexto costarricense.</w:t>
      </w:r>
    </w:p>
    <w:p w14:paraId="2E67CBFF"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Se elaboró una revisión crítica basada en búsquedas estructuradas en PubMed, Cochrane y bases regionales (2015–2023), aplicando criterios PRISMA para selección de estudios; la tesis incluyó análisis de ensayos clínicos con psicobióticos, estudios de trasplante fecal en modelos animales y propuestas de diseño para estudios nacionales en salud mental.</w:t>
      </w:r>
    </w:p>
    <w:p w14:paraId="11A963B3"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lastRenderedPageBreak/>
        <w:t>Este antecedente aporta un marco local y metodológico para investigar vínculos entre microbiota y enfermedad neuropsiquiátrica, subrayando la necesidad de ensayos clínicos controlados en población costarricense y de incorporar medidas multimodales (microbioma + inflamación sistémica + evaluación clínica estandarizada) que también son aplicables al estudio de neurodegeneración.</w:t>
      </w:r>
    </w:p>
    <w:p w14:paraId="0F73E9D4" w14:textId="350C7DDA"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Proyecto / seminario UCR</w:t>
      </w:r>
      <w:r w:rsidR="00332388" w:rsidRPr="003013DE">
        <w:rPr>
          <w:rFonts w:ascii="Times New Roman" w:hAnsi="Times New Roman" w:cs="Times New Roman"/>
          <w:sz w:val="24"/>
          <w:szCs w:val="24"/>
          <w:vertAlign w:val="superscript"/>
          <w:lang w:val="es-ES"/>
        </w:rPr>
        <w:t>30</w:t>
      </w:r>
      <w:r w:rsidRPr="003013DE">
        <w:rPr>
          <w:rFonts w:ascii="Times New Roman" w:hAnsi="Times New Roman" w:cs="Times New Roman"/>
          <w:sz w:val="24"/>
          <w:szCs w:val="24"/>
          <w:lang w:val="es-ES"/>
        </w:rPr>
        <w:t xml:space="preserve"> (2023) “Microbiota intestinal y envejecimiento saludable: el caso de la Península de Nicoya, Costa </w:t>
      </w:r>
      <w:r w:rsidR="005E2390" w:rsidRPr="003013DE">
        <w:rPr>
          <w:rFonts w:ascii="Times New Roman" w:hAnsi="Times New Roman" w:cs="Times New Roman"/>
          <w:sz w:val="24"/>
          <w:szCs w:val="24"/>
          <w:lang w:val="es-ES"/>
        </w:rPr>
        <w:t>Rica” tuvo</w:t>
      </w:r>
      <w:r w:rsidRPr="003013DE">
        <w:rPr>
          <w:rFonts w:ascii="Times New Roman" w:hAnsi="Times New Roman" w:cs="Times New Roman"/>
          <w:sz w:val="24"/>
          <w:szCs w:val="24"/>
          <w:lang w:val="es-ES"/>
        </w:rPr>
        <w:t xml:space="preserve"> como objetivo difundir y discutir la evidencia sobre perfiles microbiológicos asociados a envejecimiento saludable en la región de Nicoya, reconocida por su alta longevidad, y evaluar factores dietarios y ambientales que modulan el microbioma en poblaciones ancianas.</w:t>
      </w:r>
    </w:p>
    <w:p w14:paraId="202F7BAC" w14:textId="77777777"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Se trató de una actividad/iniciativa académica que recopiló datos locales preliminares, presentaciones de investigadores nacionales y revisión de trabajos de campo, enfatizando la necesidad de muestreos poblacionales, análisis metagenómico y estudios de asociación entre microbiota, dieta tradicional nicoyana y marcadores de salud (función cognitiva, inflamación sistémica, fragilidad). Se propusieron líneas de investigación colaborativas con universidades y autoridades locales.</w:t>
      </w:r>
    </w:p>
    <w:p w14:paraId="48322047" w14:textId="4B4BB9A9" w:rsidR="00C322F3" w:rsidRPr="003013DE" w:rsidRDefault="00C322F3"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Este antecedente aporta un ejemplo valioso de interés y capacidad local para investigar relaciones entre microbiota y envejecimiento, mostrando que la Península de Nicoya constituye una población-modelo para estudios translacionales en Costa Rica que integren factores ambientales, dietarios y biológicos.</w:t>
      </w:r>
    </w:p>
    <w:p w14:paraId="637D0697" w14:textId="66761D46" w:rsidR="00A127E2" w:rsidRPr="003013DE" w:rsidRDefault="00A83158" w:rsidP="00C322F3">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Además, </w:t>
      </w:r>
      <w:r w:rsidR="005A6E09" w:rsidRPr="003013DE">
        <w:rPr>
          <w:rFonts w:ascii="Times New Roman" w:hAnsi="Times New Roman" w:cs="Times New Roman"/>
          <w:sz w:val="24"/>
          <w:szCs w:val="24"/>
          <w:lang w:val="es-ES"/>
        </w:rPr>
        <w:t xml:space="preserve">de lo anterior también se incluye este estudio ya que </w:t>
      </w:r>
      <w:r w:rsidRPr="003013DE">
        <w:rPr>
          <w:rFonts w:ascii="Times New Roman" w:hAnsi="Times New Roman" w:cs="Times New Roman"/>
          <w:sz w:val="24"/>
          <w:szCs w:val="24"/>
          <w:lang w:val="es-ES"/>
        </w:rPr>
        <w:t>el lugar de nacimiento de la sustentante es Nicoya, lo que otorga un significado personal y académico adicional a la investigación. La sustentante expresa orgullo por sus raíces y por el reconocimiento científico que ha alcanzado su región a nivel internacional, al ser considerada una de las llamadas “Zonas Azules” del mundo, donde la longevidad y la calidad de vida de sus habitantes han sido objeto de numerosos estudios. Esta conexión geográfica y cultural refuerza la pertinencia de analizar cómo los hábitos tradicionales, la dieta local y las características del microbioma intestinal podrían contribuir a la comprensión de los mecanismos biológicos asociados a la salud neurológica y el envejecimiento saludable en la población costarricense.</w:t>
      </w:r>
    </w:p>
    <w:p w14:paraId="4E5E2EAB" w14:textId="0E313C7A" w:rsidR="007B051C" w:rsidRPr="003013DE" w:rsidRDefault="007B051C" w:rsidP="007B051C">
      <w:pPr>
        <w:spacing w:line="360" w:lineRule="auto"/>
        <w:jc w:val="both"/>
        <w:rPr>
          <w:rFonts w:ascii="Times New Roman" w:hAnsi="Times New Roman" w:cs="Times New Roman"/>
          <w:sz w:val="32"/>
          <w:szCs w:val="32"/>
          <w:lang w:val="es-ES"/>
        </w:rPr>
      </w:pPr>
    </w:p>
    <w:p w14:paraId="7305987F" w14:textId="77777777" w:rsidR="003013DE" w:rsidRDefault="003013DE" w:rsidP="007B051C">
      <w:pPr>
        <w:spacing w:line="360" w:lineRule="auto"/>
        <w:jc w:val="both"/>
        <w:rPr>
          <w:rFonts w:ascii="Times New Roman" w:hAnsi="Times New Roman" w:cs="Times New Roman"/>
          <w:sz w:val="32"/>
          <w:szCs w:val="32"/>
          <w:lang w:val="es-ES"/>
        </w:rPr>
        <w:sectPr w:rsidR="003013DE" w:rsidSect="003406E6">
          <w:pgSz w:w="12240" w:h="15840"/>
          <w:pgMar w:top="1417" w:right="1701" w:bottom="1417" w:left="1701" w:header="708" w:footer="708" w:gutter="0"/>
          <w:cols w:space="708"/>
          <w:titlePg/>
          <w:docGrid w:linePitch="360"/>
        </w:sectPr>
      </w:pPr>
    </w:p>
    <w:p w14:paraId="11E9CC72" w14:textId="145098E0" w:rsidR="007B051C" w:rsidRPr="003013DE" w:rsidRDefault="007B051C" w:rsidP="007B051C">
      <w:pPr>
        <w:spacing w:line="360" w:lineRule="auto"/>
        <w:jc w:val="both"/>
        <w:rPr>
          <w:rFonts w:ascii="Times New Roman" w:hAnsi="Times New Roman" w:cs="Times New Roman"/>
          <w:sz w:val="32"/>
          <w:szCs w:val="32"/>
          <w:lang w:val="es-ES"/>
        </w:rPr>
      </w:pPr>
    </w:p>
    <w:p w14:paraId="4125AD44" w14:textId="5D74EF28" w:rsidR="007B051C" w:rsidRPr="003013DE" w:rsidRDefault="007B051C" w:rsidP="007B051C">
      <w:pPr>
        <w:spacing w:line="360" w:lineRule="auto"/>
        <w:jc w:val="both"/>
        <w:rPr>
          <w:rFonts w:ascii="Times New Roman" w:hAnsi="Times New Roman" w:cs="Times New Roman"/>
          <w:sz w:val="32"/>
          <w:szCs w:val="32"/>
          <w:lang w:val="es-ES"/>
        </w:rPr>
      </w:pPr>
    </w:p>
    <w:p w14:paraId="6A07A91F" w14:textId="77777777" w:rsidR="007B051C" w:rsidRPr="003013DE" w:rsidRDefault="007B051C" w:rsidP="007B051C">
      <w:pPr>
        <w:spacing w:line="360" w:lineRule="auto"/>
        <w:jc w:val="both"/>
        <w:rPr>
          <w:rFonts w:ascii="Times New Roman" w:hAnsi="Times New Roman" w:cs="Times New Roman"/>
          <w:sz w:val="32"/>
          <w:szCs w:val="32"/>
          <w:lang w:val="es-ES"/>
        </w:rPr>
      </w:pPr>
    </w:p>
    <w:p w14:paraId="156C2CD5" w14:textId="77777777" w:rsidR="00C12959" w:rsidRPr="003013DE" w:rsidRDefault="00C12959" w:rsidP="007B051C">
      <w:pPr>
        <w:spacing w:line="360" w:lineRule="auto"/>
        <w:jc w:val="both"/>
        <w:rPr>
          <w:rFonts w:ascii="Times New Roman" w:hAnsi="Times New Roman" w:cs="Times New Roman"/>
          <w:sz w:val="32"/>
          <w:szCs w:val="32"/>
          <w:lang w:val="es-ES"/>
        </w:rPr>
      </w:pPr>
    </w:p>
    <w:p w14:paraId="1DA60532" w14:textId="77777777" w:rsidR="00C12959" w:rsidRPr="003013DE" w:rsidRDefault="00C12959" w:rsidP="007B051C">
      <w:pPr>
        <w:spacing w:line="360" w:lineRule="auto"/>
        <w:jc w:val="both"/>
        <w:rPr>
          <w:rFonts w:ascii="Times New Roman" w:hAnsi="Times New Roman" w:cs="Times New Roman"/>
          <w:sz w:val="32"/>
          <w:szCs w:val="32"/>
          <w:lang w:val="es-ES"/>
        </w:rPr>
      </w:pPr>
    </w:p>
    <w:p w14:paraId="14985A5B" w14:textId="77777777" w:rsidR="00FE32A4" w:rsidRPr="003013DE" w:rsidRDefault="00FE32A4" w:rsidP="007B051C">
      <w:pPr>
        <w:spacing w:line="360" w:lineRule="auto"/>
        <w:jc w:val="both"/>
        <w:rPr>
          <w:rFonts w:ascii="Times New Roman" w:hAnsi="Times New Roman" w:cs="Times New Roman"/>
          <w:sz w:val="32"/>
          <w:szCs w:val="32"/>
          <w:lang w:val="es-ES"/>
        </w:rPr>
      </w:pPr>
    </w:p>
    <w:p w14:paraId="164032AA" w14:textId="77777777" w:rsidR="00FE32A4" w:rsidRPr="003013DE" w:rsidRDefault="00FE32A4" w:rsidP="0008506B">
      <w:pPr>
        <w:pStyle w:val="Ttulo1"/>
        <w:jc w:val="center"/>
        <w:rPr>
          <w:rFonts w:cs="Times New Roman"/>
          <w:color w:val="auto"/>
          <w:sz w:val="32"/>
          <w:lang w:val="es-ES"/>
        </w:rPr>
      </w:pPr>
    </w:p>
    <w:p w14:paraId="08B5F8FE" w14:textId="2AB4E85B" w:rsidR="00FE32A4" w:rsidRPr="003013DE" w:rsidRDefault="00FE32A4" w:rsidP="0008506B">
      <w:pPr>
        <w:pStyle w:val="Ttulo1"/>
        <w:jc w:val="center"/>
        <w:rPr>
          <w:rFonts w:cs="Times New Roman"/>
          <w:b w:val="0"/>
          <w:color w:val="auto"/>
          <w:spacing w:val="-2"/>
          <w:sz w:val="32"/>
        </w:rPr>
      </w:pPr>
      <w:bookmarkStart w:id="27" w:name="_Toc223177120"/>
      <w:r w:rsidRPr="003013DE">
        <w:rPr>
          <w:rFonts w:cs="Times New Roman"/>
          <w:color w:val="auto"/>
          <w:sz w:val="32"/>
        </w:rPr>
        <w:t>CAPÍTULO</w:t>
      </w:r>
      <w:r w:rsidRPr="003013DE">
        <w:rPr>
          <w:rFonts w:cs="Times New Roman"/>
          <w:color w:val="auto"/>
          <w:spacing w:val="-1"/>
          <w:sz w:val="32"/>
        </w:rPr>
        <w:t xml:space="preserve"> </w:t>
      </w:r>
      <w:r w:rsidRPr="003013DE">
        <w:rPr>
          <w:rFonts w:cs="Times New Roman"/>
          <w:color w:val="auto"/>
          <w:sz w:val="32"/>
        </w:rPr>
        <w:t>II-</w:t>
      </w:r>
      <w:r w:rsidRPr="003013DE">
        <w:rPr>
          <w:rFonts w:cs="Times New Roman"/>
          <w:color w:val="auto"/>
          <w:spacing w:val="-1"/>
          <w:sz w:val="32"/>
        </w:rPr>
        <w:t xml:space="preserve"> </w:t>
      </w:r>
      <w:r w:rsidRPr="003013DE">
        <w:rPr>
          <w:rFonts w:cs="Times New Roman"/>
          <w:color w:val="auto"/>
          <w:spacing w:val="-2"/>
          <w:sz w:val="32"/>
        </w:rPr>
        <w:t>MARCO TEÓRICO</w:t>
      </w:r>
      <w:bookmarkEnd w:id="27"/>
    </w:p>
    <w:p w14:paraId="7942A43A" w14:textId="193ABABD" w:rsidR="00FE32A4" w:rsidRDefault="00FE32A4" w:rsidP="00FE32A4">
      <w:pPr>
        <w:spacing w:line="360" w:lineRule="auto"/>
        <w:jc w:val="center"/>
        <w:rPr>
          <w:rFonts w:ascii="Times New Roman" w:hAnsi="Times New Roman" w:cs="Times New Roman"/>
          <w:b/>
          <w:spacing w:val="-2"/>
          <w:sz w:val="32"/>
          <w:szCs w:val="32"/>
        </w:rPr>
      </w:pPr>
    </w:p>
    <w:p w14:paraId="7D1AAD6A" w14:textId="037BA3AA" w:rsidR="003013DE" w:rsidRDefault="003013DE" w:rsidP="00FE32A4">
      <w:pPr>
        <w:spacing w:line="360" w:lineRule="auto"/>
        <w:jc w:val="center"/>
        <w:rPr>
          <w:rFonts w:ascii="Times New Roman" w:hAnsi="Times New Roman" w:cs="Times New Roman"/>
          <w:b/>
          <w:spacing w:val="-2"/>
          <w:sz w:val="32"/>
          <w:szCs w:val="32"/>
        </w:rPr>
      </w:pPr>
    </w:p>
    <w:p w14:paraId="39425074" w14:textId="4015459C" w:rsidR="003013DE" w:rsidRDefault="003013DE" w:rsidP="00FE32A4">
      <w:pPr>
        <w:spacing w:line="360" w:lineRule="auto"/>
        <w:jc w:val="center"/>
        <w:rPr>
          <w:rFonts w:ascii="Times New Roman" w:hAnsi="Times New Roman" w:cs="Times New Roman"/>
          <w:b/>
          <w:spacing w:val="-2"/>
          <w:sz w:val="32"/>
          <w:szCs w:val="32"/>
        </w:rPr>
      </w:pPr>
    </w:p>
    <w:p w14:paraId="0B1C58DA" w14:textId="59895B3E" w:rsidR="003013DE" w:rsidRDefault="003013DE" w:rsidP="00FE32A4">
      <w:pPr>
        <w:spacing w:line="360" w:lineRule="auto"/>
        <w:jc w:val="center"/>
        <w:rPr>
          <w:rFonts w:ascii="Times New Roman" w:hAnsi="Times New Roman" w:cs="Times New Roman"/>
          <w:b/>
          <w:spacing w:val="-2"/>
          <w:sz w:val="32"/>
          <w:szCs w:val="32"/>
        </w:rPr>
      </w:pPr>
    </w:p>
    <w:p w14:paraId="057E2E45" w14:textId="54C1D140" w:rsidR="003013DE" w:rsidRDefault="003013DE" w:rsidP="00FE32A4">
      <w:pPr>
        <w:spacing w:line="360" w:lineRule="auto"/>
        <w:jc w:val="center"/>
        <w:rPr>
          <w:rFonts w:ascii="Times New Roman" w:hAnsi="Times New Roman" w:cs="Times New Roman"/>
          <w:b/>
          <w:spacing w:val="-2"/>
          <w:sz w:val="32"/>
          <w:szCs w:val="32"/>
        </w:rPr>
      </w:pPr>
    </w:p>
    <w:p w14:paraId="2A856954" w14:textId="77777777" w:rsidR="003013DE" w:rsidRPr="003013DE" w:rsidRDefault="003013DE" w:rsidP="00FE32A4">
      <w:pPr>
        <w:spacing w:line="360" w:lineRule="auto"/>
        <w:jc w:val="center"/>
        <w:rPr>
          <w:rFonts w:ascii="Times New Roman" w:hAnsi="Times New Roman" w:cs="Times New Roman"/>
          <w:b/>
          <w:spacing w:val="-2"/>
          <w:sz w:val="32"/>
          <w:szCs w:val="32"/>
        </w:rPr>
      </w:pPr>
    </w:p>
    <w:p w14:paraId="6C4C9B47" w14:textId="51EDEB6D" w:rsidR="00FE32A4" w:rsidRPr="003013DE" w:rsidRDefault="00FE32A4" w:rsidP="00FE32A4">
      <w:pPr>
        <w:spacing w:line="360" w:lineRule="auto"/>
        <w:jc w:val="center"/>
        <w:rPr>
          <w:rFonts w:ascii="Times New Roman" w:hAnsi="Times New Roman" w:cs="Times New Roman"/>
          <w:b/>
          <w:spacing w:val="-2"/>
          <w:sz w:val="32"/>
          <w:szCs w:val="32"/>
        </w:rPr>
      </w:pPr>
    </w:p>
    <w:p w14:paraId="2F6D9F86" w14:textId="1B8D92E0" w:rsidR="00FE32A4" w:rsidRPr="003013DE" w:rsidRDefault="00FE32A4" w:rsidP="00FE32A4">
      <w:pPr>
        <w:spacing w:line="360" w:lineRule="auto"/>
        <w:jc w:val="center"/>
        <w:rPr>
          <w:rFonts w:ascii="Times New Roman" w:hAnsi="Times New Roman" w:cs="Times New Roman"/>
          <w:b/>
          <w:spacing w:val="-2"/>
          <w:sz w:val="32"/>
          <w:szCs w:val="32"/>
        </w:rPr>
      </w:pPr>
    </w:p>
    <w:p w14:paraId="214861E2" w14:textId="70DFF204" w:rsidR="00FE32A4" w:rsidRPr="003013DE" w:rsidRDefault="00FE32A4" w:rsidP="00FE32A4">
      <w:pPr>
        <w:spacing w:line="360" w:lineRule="auto"/>
        <w:jc w:val="center"/>
        <w:rPr>
          <w:rFonts w:ascii="Times New Roman" w:hAnsi="Times New Roman" w:cs="Times New Roman"/>
          <w:b/>
          <w:spacing w:val="-2"/>
          <w:sz w:val="32"/>
          <w:szCs w:val="32"/>
        </w:rPr>
      </w:pPr>
    </w:p>
    <w:p w14:paraId="5A547844" w14:textId="7596A96F" w:rsidR="00FE32A4" w:rsidRPr="003013DE" w:rsidRDefault="00FE32A4" w:rsidP="00FE32A4">
      <w:pPr>
        <w:spacing w:line="360" w:lineRule="auto"/>
        <w:jc w:val="center"/>
        <w:rPr>
          <w:rFonts w:ascii="Times New Roman" w:hAnsi="Times New Roman" w:cs="Times New Roman"/>
          <w:b/>
          <w:spacing w:val="-2"/>
          <w:sz w:val="32"/>
          <w:szCs w:val="32"/>
        </w:rPr>
      </w:pPr>
    </w:p>
    <w:p w14:paraId="2FEEF445" w14:textId="7D1DD919" w:rsidR="00FE32A4" w:rsidRPr="003013DE" w:rsidRDefault="00FE32A4" w:rsidP="00FE32A4">
      <w:pPr>
        <w:spacing w:line="360" w:lineRule="auto"/>
        <w:jc w:val="center"/>
        <w:rPr>
          <w:rFonts w:ascii="Times New Roman" w:hAnsi="Times New Roman" w:cs="Times New Roman"/>
          <w:b/>
          <w:spacing w:val="-2"/>
          <w:sz w:val="32"/>
          <w:szCs w:val="32"/>
        </w:rPr>
      </w:pPr>
    </w:p>
    <w:p w14:paraId="0F64EDB7" w14:textId="010B3440" w:rsidR="00BB3BEB" w:rsidRPr="00AC0D81" w:rsidRDefault="00BB3BEB" w:rsidP="00BB3BEB">
      <w:pPr>
        <w:pStyle w:val="Piedepgina"/>
        <w:spacing w:line="360" w:lineRule="auto"/>
        <w:ind w:firstLine="708"/>
        <w:jc w:val="both"/>
        <w:rPr>
          <w:rFonts w:ascii="Times New Roman" w:hAnsi="Times New Roman" w:cs="Times New Roman"/>
          <w:sz w:val="24"/>
          <w:szCs w:val="24"/>
        </w:rPr>
      </w:pPr>
      <w:r w:rsidRPr="00AC0D81">
        <w:rPr>
          <w:rFonts w:ascii="Times New Roman" w:hAnsi="Times New Roman" w:cs="Times New Roman"/>
          <w:sz w:val="24"/>
          <w:szCs w:val="24"/>
        </w:rPr>
        <w:lastRenderedPageBreak/>
        <w:t xml:space="preserve">El segundo capítulo tiene como finalidad desarrollar el marco teórico que sustenta la presente investigación, estableciendo los conceptos, mecanismos y evidencias científicas que explican la relación entre </w:t>
      </w:r>
      <w:bookmarkStart w:id="28" w:name="_Int_yNFzHifE"/>
      <w:r w:rsidRPr="00AC0D81">
        <w:rPr>
          <w:rFonts w:ascii="Times New Roman" w:hAnsi="Times New Roman" w:cs="Times New Roman"/>
          <w:sz w:val="24"/>
          <w:szCs w:val="24"/>
        </w:rPr>
        <w:t>la microbiota intestinal</w:t>
      </w:r>
      <w:bookmarkEnd w:id="28"/>
      <w:r w:rsidRPr="00AC0D81">
        <w:rPr>
          <w:rFonts w:ascii="Times New Roman" w:hAnsi="Times New Roman" w:cs="Times New Roman"/>
          <w:sz w:val="24"/>
          <w:szCs w:val="24"/>
        </w:rPr>
        <w:t xml:space="preserve"> y la salud neurológica. Este apartado reúne el conocimiento actualizado derivado de estudios experimentales, clínicos y epidemiológicos, abordando los procesos fisiológicos que caracterizan el eje intestino-cerebro, las alteraciones microbianas asociadas con estados de disbiosis y su posible relación con enfermedades neurodegenerativas como el Alzheimer, el Parkinson y la esclerosis múltiple.</w:t>
      </w:r>
    </w:p>
    <w:p w14:paraId="719A9E02" w14:textId="55C1A3FC" w:rsidR="00FE32A4" w:rsidRPr="00AC0D81" w:rsidRDefault="00BB3BEB" w:rsidP="00852FDA">
      <w:pPr>
        <w:pStyle w:val="Piedepgina"/>
        <w:spacing w:line="360" w:lineRule="auto"/>
        <w:ind w:firstLine="708"/>
        <w:jc w:val="both"/>
        <w:rPr>
          <w:rFonts w:ascii="Times New Roman" w:hAnsi="Times New Roman" w:cs="Times New Roman"/>
          <w:sz w:val="24"/>
          <w:szCs w:val="24"/>
        </w:rPr>
      </w:pPr>
      <w:r w:rsidRPr="00AC0D81">
        <w:rPr>
          <w:rFonts w:ascii="Times New Roman" w:hAnsi="Times New Roman" w:cs="Times New Roman"/>
          <w:sz w:val="24"/>
          <w:szCs w:val="24"/>
        </w:rPr>
        <w:t>Asimismo, el marco teórico examina la influencia de factores ambientales, dietéticos y genéticos sobre la composición del microbioma intestinal, así como los mecanismos inmunológicos, metabólicos y neuroendocrinos mediante los cuales las bacterias intestinales pueden afectar la función cerebral. De igual forma, se profundiza en los biomarcadores emergentes que permiten evaluar la salud del microbioma y su relación con el funcionamiento neurológico, aportando una visión integral y actualizada del tema</w:t>
      </w:r>
      <w:r w:rsidR="00D26C9D" w:rsidRPr="00AC0D81">
        <w:rPr>
          <w:rFonts w:ascii="Times New Roman" w:hAnsi="Times New Roman" w:cs="Times New Roman"/>
          <w:sz w:val="24"/>
          <w:szCs w:val="24"/>
        </w:rPr>
        <w:t>.</w:t>
      </w:r>
    </w:p>
    <w:p w14:paraId="51B985AC" w14:textId="554A08ED" w:rsidR="00AC0D81" w:rsidRPr="00AC0D81" w:rsidRDefault="00852FDA" w:rsidP="00AC0D81">
      <w:pPr>
        <w:pStyle w:val="Ttulo1"/>
        <w:rPr>
          <w:rFonts w:cs="Times New Roman"/>
          <w:b w:val="0"/>
          <w:color w:val="auto"/>
          <w:szCs w:val="24"/>
        </w:rPr>
      </w:pPr>
      <w:bookmarkStart w:id="29" w:name="_Toc223177121"/>
      <w:r w:rsidRPr="003013DE">
        <w:rPr>
          <w:rFonts w:cs="Times New Roman"/>
          <w:color w:val="auto"/>
          <w:szCs w:val="24"/>
        </w:rPr>
        <w:t>2.1. Conceptualización del microbiota intestinal</w:t>
      </w:r>
      <w:bookmarkEnd w:id="29"/>
    </w:p>
    <w:p w14:paraId="00FBA454" w14:textId="14454617" w:rsidR="00BA268C" w:rsidRPr="003013DE" w:rsidRDefault="00BA268C" w:rsidP="00AC0D81">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microbiota intestinal se define como el conjunto de microorganismos que colonizan de manera estable el tracto gastrointestinal humano, estableciendo una relación simbiótica con el hospedador. Este ecosistema microbiano está compuesto principalmente por bacterias, aunque también incluye virus (principalmente bacteriófagos), hongos, arqueas y protozoos, los cuales interactúan entre sí y con el organismo humano mediante complejas redes metabólicas y de señalización molecular</w:t>
      </w:r>
      <w:r w:rsidR="00EB0C0D" w:rsidRPr="003013DE">
        <w:rPr>
          <w:rFonts w:ascii="Times New Roman" w:hAnsi="Times New Roman" w:cs="Times New Roman"/>
          <w:bCs/>
          <w:sz w:val="24"/>
          <w:szCs w:val="24"/>
          <w:vertAlign w:val="superscript"/>
        </w:rPr>
        <w:t>31</w:t>
      </w:r>
      <w:r w:rsidRPr="003013DE">
        <w:rPr>
          <w:rFonts w:ascii="Times New Roman" w:hAnsi="Times New Roman" w:cs="Times New Roman"/>
          <w:bCs/>
          <w:sz w:val="24"/>
          <w:szCs w:val="24"/>
        </w:rPr>
        <w:t>.</w:t>
      </w:r>
    </w:p>
    <w:p w14:paraId="1AC6CEA5" w14:textId="44135F7F" w:rsidR="00BA268C" w:rsidRPr="003013DE" w:rsidRDefault="00BA268C" w:rsidP="00AC0D81">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Desde una perspectiva funcional, el microbiota intestinal es considerado un órgano metabólico e inmunológico adicional, debido a su elevada actividad bioquímica y a la magnitud de sus interacciones con los sistemas fisiológicos del hospedador. Se estima que el número total de células microbianas es comparable al de células humanas y que el genoma microbiano (microbioma) contiene un repertorio génico significativamente mayor al genoma humano, ampliando las capacidades metabólicas del organismo</w:t>
      </w:r>
      <w:r w:rsidR="00EB0C0D" w:rsidRPr="003013DE">
        <w:rPr>
          <w:rFonts w:ascii="Times New Roman" w:hAnsi="Times New Roman" w:cs="Times New Roman"/>
          <w:bCs/>
          <w:sz w:val="24"/>
          <w:szCs w:val="24"/>
          <w:vertAlign w:val="superscript"/>
        </w:rPr>
        <w:t>31</w:t>
      </w:r>
      <w:r w:rsidRPr="003013DE">
        <w:rPr>
          <w:rFonts w:ascii="Times New Roman" w:hAnsi="Times New Roman" w:cs="Times New Roman"/>
          <w:bCs/>
          <w:sz w:val="24"/>
          <w:szCs w:val="24"/>
        </w:rPr>
        <w:t>.</w:t>
      </w:r>
    </w:p>
    <w:p w14:paraId="1047814D" w14:textId="5465EF32" w:rsidR="006D1457" w:rsidRPr="003013DE" w:rsidRDefault="00BA268C" w:rsidP="00A3284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La colonización intestinal inicia al nacimiento y evoluciona dinámicamente a lo largo de la vida, influenciada por factores como el tipo de parto, la lactancia, la dieta, el uso de </w:t>
      </w:r>
      <w:r w:rsidRPr="003013DE">
        <w:rPr>
          <w:rFonts w:ascii="Times New Roman" w:hAnsi="Times New Roman" w:cs="Times New Roman"/>
          <w:bCs/>
          <w:sz w:val="24"/>
          <w:szCs w:val="24"/>
        </w:rPr>
        <w:lastRenderedPageBreak/>
        <w:t>antibióticos, el ambiente y el estilo de vida. En condiciones de equilibrio, el microbiota contribuye a la homeostasis fisiológica; sin embargo, alteraciones en su composición o función conocidas como disbiosis se asocian con diversas enfermedades metabólicas, inmunológicas y neurológicas</w:t>
      </w:r>
      <w:r w:rsidR="00EB0C0D" w:rsidRPr="003013DE">
        <w:rPr>
          <w:rFonts w:ascii="Times New Roman" w:hAnsi="Times New Roman" w:cs="Times New Roman"/>
          <w:bCs/>
          <w:sz w:val="24"/>
          <w:szCs w:val="24"/>
          <w:vertAlign w:val="superscript"/>
        </w:rPr>
        <w:t>3</w:t>
      </w:r>
      <w:r w:rsidR="0009365D" w:rsidRPr="003013DE">
        <w:rPr>
          <w:rFonts w:ascii="Times New Roman" w:hAnsi="Times New Roman" w:cs="Times New Roman"/>
          <w:bCs/>
          <w:sz w:val="24"/>
          <w:szCs w:val="24"/>
          <w:vertAlign w:val="superscript"/>
        </w:rPr>
        <w:t>2</w:t>
      </w:r>
      <w:r w:rsidRPr="003013DE">
        <w:rPr>
          <w:rFonts w:ascii="Times New Roman" w:hAnsi="Times New Roman" w:cs="Times New Roman"/>
          <w:bCs/>
          <w:sz w:val="24"/>
          <w:szCs w:val="24"/>
        </w:rPr>
        <w:t>.</w:t>
      </w:r>
    </w:p>
    <w:p w14:paraId="5EDCAE1E" w14:textId="7A561B65" w:rsidR="006D1457" w:rsidRPr="003013DE" w:rsidRDefault="009A3279" w:rsidP="0008506B">
      <w:pPr>
        <w:pStyle w:val="Ttulo2"/>
        <w:rPr>
          <w:rFonts w:ascii="Times New Roman" w:hAnsi="Times New Roman" w:cs="Times New Roman"/>
          <w:b/>
          <w:color w:val="auto"/>
          <w:sz w:val="24"/>
          <w:szCs w:val="24"/>
        </w:rPr>
      </w:pPr>
      <w:bookmarkStart w:id="30" w:name="_Toc223177122"/>
      <w:r w:rsidRPr="003013DE">
        <w:rPr>
          <w:rFonts w:ascii="Times New Roman" w:hAnsi="Times New Roman" w:cs="Times New Roman"/>
          <w:b/>
          <w:color w:val="auto"/>
          <w:sz w:val="24"/>
          <w:szCs w:val="24"/>
        </w:rPr>
        <w:t xml:space="preserve">2.1.1 </w:t>
      </w:r>
      <w:r w:rsidR="00BA268C" w:rsidRPr="003013DE">
        <w:rPr>
          <w:rFonts w:ascii="Times New Roman" w:hAnsi="Times New Roman" w:cs="Times New Roman"/>
          <w:b/>
          <w:color w:val="auto"/>
          <w:sz w:val="24"/>
          <w:szCs w:val="24"/>
        </w:rPr>
        <w:t>Composición del microbiota intestinal</w:t>
      </w:r>
      <w:bookmarkEnd w:id="30"/>
    </w:p>
    <w:p w14:paraId="70AB29D0" w14:textId="55018959" w:rsidR="00BA268C" w:rsidRPr="003013DE" w:rsidRDefault="00BA268C" w:rsidP="00AD0F1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La composición del microbiota intestinal humano es altamente diversa y específica de cada individuo, aunque existen patrones taxonómicos comunes. A nivel filogenético, predominan los filos Firmicutes y Bacteroidetes, que representan aproximadamente el 80–90 % </w:t>
      </w:r>
      <w:r w:rsidR="00AD0F1D" w:rsidRPr="003013DE">
        <w:rPr>
          <w:rFonts w:ascii="Times New Roman" w:hAnsi="Times New Roman" w:cs="Times New Roman"/>
          <w:bCs/>
          <w:sz w:val="24"/>
          <w:szCs w:val="24"/>
        </w:rPr>
        <w:t>del microbiota total</w:t>
      </w:r>
      <w:r w:rsidRPr="003013DE">
        <w:rPr>
          <w:rFonts w:ascii="Times New Roman" w:hAnsi="Times New Roman" w:cs="Times New Roman"/>
          <w:bCs/>
          <w:sz w:val="24"/>
          <w:szCs w:val="24"/>
        </w:rPr>
        <w:t>. Otros filos relevantes incluyen Actinobacteria, Proteobacteria, Verrucomicrobia y, en menor proporción, Fusobacteria</w:t>
      </w:r>
      <w:r w:rsidR="0009365D" w:rsidRPr="003013DE">
        <w:rPr>
          <w:rFonts w:ascii="Times New Roman" w:hAnsi="Times New Roman" w:cs="Times New Roman"/>
          <w:bCs/>
          <w:sz w:val="24"/>
          <w:szCs w:val="24"/>
          <w:vertAlign w:val="superscript"/>
        </w:rPr>
        <w:t>32</w:t>
      </w:r>
      <w:r w:rsidRPr="003013DE">
        <w:rPr>
          <w:rFonts w:ascii="Times New Roman" w:hAnsi="Times New Roman" w:cs="Times New Roman"/>
          <w:bCs/>
          <w:sz w:val="24"/>
          <w:szCs w:val="24"/>
        </w:rPr>
        <w:t>.</w:t>
      </w:r>
    </w:p>
    <w:p w14:paraId="4DD91E76" w14:textId="6F9A38F0" w:rsidR="00BA268C" w:rsidRPr="003013DE" w:rsidRDefault="00BA268C" w:rsidP="00AD0F1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Dentro de estos grupos se encuentran géneros con funciones fisiológicas bien caracterizadas, como Bacteroides, Faecalibacterium, Lactobacillus, Bifidobacterium y Akkermansia, los cuales participan activamente en procesos metabólicos, inmunológicos y de mantenimiento de la barrera intestinal.</w:t>
      </w:r>
      <w:r w:rsidR="00AD0F1D"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 xml:space="preserve">Además de las bacterias, el viroma intestinal, compuesto principalmente por bacteriófagos, cumple un papel regulador al modular la abundancia bacteriana y favorecer la estabilidad ecológica del microbiota. </w:t>
      </w:r>
      <w:r w:rsidR="00AA4382" w:rsidRPr="003013DE">
        <w:rPr>
          <w:rFonts w:ascii="Times New Roman" w:hAnsi="Times New Roman" w:cs="Times New Roman"/>
          <w:bCs/>
          <w:sz w:val="24"/>
          <w:szCs w:val="24"/>
        </w:rPr>
        <w:t>La microbiota</w:t>
      </w:r>
      <w:r w:rsidRPr="003013DE">
        <w:rPr>
          <w:rFonts w:ascii="Times New Roman" w:hAnsi="Times New Roman" w:cs="Times New Roman"/>
          <w:bCs/>
          <w:sz w:val="24"/>
          <w:szCs w:val="24"/>
        </w:rPr>
        <w:t xml:space="preserve"> intestinal, aunque menos abundante, también influye en la respuesta inmune y en la integridad epitelial</w:t>
      </w:r>
      <w:r w:rsidR="0009365D" w:rsidRPr="003013DE">
        <w:rPr>
          <w:rFonts w:ascii="Times New Roman" w:hAnsi="Times New Roman" w:cs="Times New Roman"/>
          <w:bCs/>
          <w:sz w:val="24"/>
          <w:szCs w:val="24"/>
          <w:vertAlign w:val="superscript"/>
        </w:rPr>
        <w:t>33</w:t>
      </w:r>
      <w:r w:rsidRPr="003013DE">
        <w:rPr>
          <w:rFonts w:ascii="Times New Roman" w:hAnsi="Times New Roman" w:cs="Times New Roman"/>
          <w:bCs/>
          <w:sz w:val="24"/>
          <w:szCs w:val="24"/>
        </w:rPr>
        <w:t>.</w:t>
      </w:r>
    </w:p>
    <w:p w14:paraId="1D727BAC" w14:textId="12130CED" w:rsidR="00BA268C" w:rsidRPr="003013DE" w:rsidRDefault="00BA268C" w:rsidP="00505694">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composición del microbiota no es estática, sino que varía según la edad, el estado fisiológico y patológico, la dieta y la exposición ambiental. Esta plasticidad le permite adaptarse a cambios externos, pero también lo hace susceptible a alteraciones que pueden impactar negativamente en la salud del hospedador</w:t>
      </w:r>
      <w:r w:rsidR="0009365D" w:rsidRPr="003013DE">
        <w:rPr>
          <w:rFonts w:ascii="Times New Roman" w:hAnsi="Times New Roman" w:cs="Times New Roman"/>
          <w:bCs/>
          <w:sz w:val="24"/>
          <w:szCs w:val="24"/>
          <w:vertAlign w:val="superscript"/>
        </w:rPr>
        <w:t>33</w:t>
      </w:r>
      <w:r w:rsidRPr="003013DE">
        <w:rPr>
          <w:rFonts w:ascii="Times New Roman" w:hAnsi="Times New Roman" w:cs="Times New Roman"/>
          <w:bCs/>
          <w:sz w:val="24"/>
          <w:szCs w:val="24"/>
        </w:rPr>
        <w:t>.</w:t>
      </w:r>
    </w:p>
    <w:p w14:paraId="591D0E4D" w14:textId="59C5476A" w:rsidR="00BA268C" w:rsidRPr="003013DE" w:rsidRDefault="002D20A9" w:rsidP="0008506B">
      <w:pPr>
        <w:pStyle w:val="Ttulo2"/>
        <w:rPr>
          <w:rFonts w:ascii="Times New Roman" w:hAnsi="Times New Roman" w:cs="Times New Roman"/>
          <w:b/>
          <w:color w:val="auto"/>
          <w:sz w:val="24"/>
          <w:szCs w:val="24"/>
        </w:rPr>
      </w:pPr>
      <w:bookmarkStart w:id="31" w:name="_Toc223177123"/>
      <w:r w:rsidRPr="003013DE">
        <w:rPr>
          <w:rFonts w:ascii="Times New Roman" w:hAnsi="Times New Roman" w:cs="Times New Roman"/>
          <w:b/>
          <w:color w:val="auto"/>
          <w:sz w:val="24"/>
          <w:szCs w:val="24"/>
        </w:rPr>
        <w:t xml:space="preserve">2.1.2 </w:t>
      </w:r>
      <w:r w:rsidR="00BA268C" w:rsidRPr="003013DE">
        <w:rPr>
          <w:rFonts w:ascii="Times New Roman" w:hAnsi="Times New Roman" w:cs="Times New Roman"/>
          <w:b/>
          <w:color w:val="auto"/>
          <w:sz w:val="24"/>
          <w:szCs w:val="24"/>
        </w:rPr>
        <w:t>Funciones básicas del microbiota intestinal</w:t>
      </w:r>
      <w:bookmarkEnd w:id="31"/>
    </w:p>
    <w:p w14:paraId="2594F8F4" w14:textId="072FE7C2" w:rsidR="00BA268C" w:rsidRPr="003013DE" w:rsidRDefault="002D20A9" w:rsidP="0008506B">
      <w:pPr>
        <w:pStyle w:val="Ttulo3"/>
        <w:rPr>
          <w:rFonts w:ascii="Times New Roman" w:hAnsi="Times New Roman" w:cs="Times New Roman"/>
          <w:b/>
          <w:color w:val="auto"/>
          <w:sz w:val="24"/>
          <w:szCs w:val="24"/>
        </w:rPr>
      </w:pPr>
      <w:bookmarkStart w:id="32" w:name="_Toc223177124"/>
      <w:r w:rsidRPr="003013DE">
        <w:rPr>
          <w:rFonts w:ascii="Times New Roman" w:hAnsi="Times New Roman" w:cs="Times New Roman"/>
          <w:b/>
          <w:color w:val="auto"/>
          <w:sz w:val="24"/>
          <w:szCs w:val="24"/>
        </w:rPr>
        <w:t xml:space="preserve">2.1.2.1 </w:t>
      </w:r>
      <w:r w:rsidR="00BA268C" w:rsidRPr="003013DE">
        <w:rPr>
          <w:rFonts w:ascii="Times New Roman" w:hAnsi="Times New Roman" w:cs="Times New Roman"/>
          <w:b/>
          <w:color w:val="auto"/>
          <w:sz w:val="24"/>
          <w:szCs w:val="24"/>
        </w:rPr>
        <w:t>Funciones metabólicas</w:t>
      </w:r>
      <w:bookmarkEnd w:id="32"/>
    </w:p>
    <w:p w14:paraId="05D7C86E" w14:textId="57E67F7B" w:rsidR="002D20A9" w:rsidRPr="003013DE" w:rsidRDefault="00AA4382" w:rsidP="002D20A9">
      <w:pPr>
        <w:spacing w:line="360" w:lineRule="auto"/>
        <w:ind w:firstLine="708"/>
        <w:jc w:val="both"/>
        <w:rPr>
          <w:rFonts w:ascii="Times New Roman" w:hAnsi="Times New Roman" w:cs="Times New Roman"/>
          <w:bCs/>
          <w:sz w:val="24"/>
          <w:szCs w:val="24"/>
        </w:rPr>
      </w:pPr>
      <w:bookmarkStart w:id="33" w:name="_Int_Qu0cELry"/>
      <w:r w:rsidRPr="003013DE">
        <w:rPr>
          <w:rFonts w:ascii="Times New Roman" w:hAnsi="Times New Roman" w:cs="Times New Roman"/>
          <w:bCs/>
          <w:sz w:val="24"/>
          <w:szCs w:val="24"/>
        </w:rPr>
        <w:t xml:space="preserve">La </w:t>
      </w:r>
      <w:r w:rsidR="00BA268C" w:rsidRPr="003013DE">
        <w:rPr>
          <w:rFonts w:ascii="Times New Roman" w:hAnsi="Times New Roman" w:cs="Times New Roman"/>
          <w:bCs/>
          <w:sz w:val="24"/>
          <w:szCs w:val="24"/>
        </w:rPr>
        <w:t>microbiota intestinal</w:t>
      </w:r>
      <w:bookmarkEnd w:id="33"/>
      <w:r w:rsidR="00BA268C" w:rsidRPr="003013DE">
        <w:rPr>
          <w:rFonts w:ascii="Times New Roman" w:hAnsi="Times New Roman" w:cs="Times New Roman"/>
          <w:bCs/>
          <w:sz w:val="24"/>
          <w:szCs w:val="24"/>
        </w:rPr>
        <w:t xml:space="preserve"> desempeña un papel central en el metabolismo del hospedador, actuando como una plataforma bioquímica capaz de transformar compuestos dietéticos no digeribles por las enzimas humanas. Una de sus funciones metabólicas más relevantes es la fermentación de carbohidratos complejos, como fibras dietéticas y almidones resistentes, dando lugar a la producción de ácidos grasos de cadena corta (AGCC), principalmente acetato, propionato y butirato</w:t>
      </w:r>
      <w:r w:rsidR="0009365D" w:rsidRPr="003013DE">
        <w:rPr>
          <w:rFonts w:ascii="Times New Roman" w:hAnsi="Times New Roman" w:cs="Times New Roman"/>
          <w:bCs/>
          <w:sz w:val="24"/>
          <w:szCs w:val="24"/>
          <w:vertAlign w:val="superscript"/>
        </w:rPr>
        <w:t>34</w:t>
      </w:r>
      <w:r w:rsidR="00BA268C" w:rsidRPr="003013DE">
        <w:rPr>
          <w:rFonts w:ascii="Times New Roman" w:hAnsi="Times New Roman" w:cs="Times New Roman"/>
          <w:bCs/>
          <w:sz w:val="24"/>
          <w:szCs w:val="24"/>
        </w:rPr>
        <w:t>.</w:t>
      </w:r>
    </w:p>
    <w:p w14:paraId="1A1A1208" w14:textId="77777777" w:rsidR="00BA268C" w:rsidRPr="003013DE" w:rsidRDefault="00BA268C" w:rsidP="00505694">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lastRenderedPageBreak/>
        <w:t>Estos AGCC cumplen múltiples funciones:</w:t>
      </w:r>
    </w:p>
    <w:p w14:paraId="5741DCC4" w14:textId="77777777" w:rsidR="002D20A9" w:rsidRPr="003013DE" w:rsidRDefault="00BA268C" w:rsidP="002D20A9">
      <w:pPr>
        <w:pStyle w:val="Textocomentario"/>
        <w:numPr>
          <w:ilvl w:val="0"/>
          <w:numId w:val="13"/>
        </w:numPr>
        <w:spacing w:line="360" w:lineRule="auto"/>
        <w:jc w:val="both"/>
        <w:rPr>
          <w:rFonts w:ascii="Times New Roman" w:hAnsi="Times New Roman" w:cs="Times New Roman"/>
          <w:bCs/>
          <w:sz w:val="24"/>
          <w:szCs w:val="24"/>
        </w:rPr>
      </w:pPr>
      <w:r w:rsidRPr="003013DE">
        <w:rPr>
          <w:rFonts w:ascii="Times New Roman" w:hAnsi="Times New Roman" w:cs="Times New Roman"/>
          <w:bCs/>
          <w:sz w:val="24"/>
          <w:szCs w:val="24"/>
        </w:rPr>
        <w:t>El butirato es la principal fuente energética de los colonocitos y contribuye al mantenimiento de la integridad de la barrera intestinal.</w:t>
      </w:r>
    </w:p>
    <w:p w14:paraId="430BD520" w14:textId="77777777" w:rsidR="002D20A9" w:rsidRPr="003013DE" w:rsidRDefault="00BA268C" w:rsidP="002D20A9">
      <w:pPr>
        <w:pStyle w:val="Textocomentario"/>
        <w:numPr>
          <w:ilvl w:val="0"/>
          <w:numId w:val="13"/>
        </w:numPr>
        <w:spacing w:line="360" w:lineRule="auto"/>
        <w:jc w:val="both"/>
        <w:rPr>
          <w:rFonts w:ascii="Times New Roman" w:hAnsi="Times New Roman" w:cs="Times New Roman"/>
          <w:bCs/>
          <w:sz w:val="24"/>
          <w:szCs w:val="24"/>
        </w:rPr>
      </w:pPr>
      <w:r w:rsidRPr="003013DE">
        <w:rPr>
          <w:rFonts w:ascii="Times New Roman" w:hAnsi="Times New Roman" w:cs="Times New Roman"/>
          <w:bCs/>
          <w:sz w:val="24"/>
          <w:szCs w:val="24"/>
        </w:rPr>
        <w:t>El propionato participa en la gluconeogénesis hepática y en la regulación del metabolismo lipídico.</w:t>
      </w:r>
    </w:p>
    <w:p w14:paraId="527CDE37" w14:textId="0F2394BA" w:rsidR="00BA268C" w:rsidRPr="003013DE" w:rsidRDefault="00BA268C" w:rsidP="00A40548">
      <w:pPr>
        <w:pStyle w:val="Textocomentario"/>
        <w:numPr>
          <w:ilvl w:val="0"/>
          <w:numId w:val="13"/>
        </w:numPr>
        <w:spacing w:line="360" w:lineRule="auto"/>
        <w:jc w:val="both"/>
        <w:rPr>
          <w:rFonts w:ascii="Times New Roman" w:hAnsi="Times New Roman" w:cs="Times New Roman"/>
          <w:bCs/>
          <w:sz w:val="24"/>
          <w:szCs w:val="24"/>
        </w:rPr>
      </w:pPr>
      <w:r w:rsidRPr="003013DE">
        <w:rPr>
          <w:rFonts w:ascii="Times New Roman" w:hAnsi="Times New Roman" w:cs="Times New Roman"/>
          <w:bCs/>
          <w:sz w:val="24"/>
          <w:szCs w:val="24"/>
        </w:rPr>
        <w:t>El acetato actúa como sustrato energético sistémico y modulador de señales metabólicas</w:t>
      </w:r>
      <w:r w:rsidR="0009365D"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28A5F92C" w14:textId="1540D176" w:rsidR="00BA268C" w:rsidRPr="003013DE" w:rsidRDefault="00BA268C" w:rsidP="00A4054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Además, </w:t>
      </w:r>
      <w:bookmarkStart w:id="34" w:name="_Int_9cJGcQiy"/>
      <w:r w:rsidR="00B1533C" w:rsidRPr="003013DE">
        <w:rPr>
          <w:rFonts w:ascii="Times New Roman" w:hAnsi="Times New Roman" w:cs="Times New Roman"/>
          <w:bCs/>
          <w:sz w:val="24"/>
          <w:szCs w:val="24"/>
        </w:rPr>
        <w:t xml:space="preserve">la </w:t>
      </w:r>
      <w:r w:rsidRPr="003013DE">
        <w:rPr>
          <w:rFonts w:ascii="Times New Roman" w:hAnsi="Times New Roman" w:cs="Times New Roman"/>
          <w:bCs/>
          <w:sz w:val="24"/>
          <w:szCs w:val="24"/>
        </w:rPr>
        <w:t>microbiota</w:t>
      </w:r>
      <w:bookmarkEnd w:id="34"/>
      <w:r w:rsidRPr="003013DE">
        <w:rPr>
          <w:rFonts w:ascii="Times New Roman" w:hAnsi="Times New Roman" w:cs="Times New Roman"/>
          <w:bCs/>
          <w:sz w:val="24"/>
          <w:szCs w:val="24"/>
        </w:rPr>
        <w:t xml:space="preserve"> interviene en el metabolismo de proteínas, lípidos y ácidos biliares, influyendo en la absorción de nutrientes, el balance energético y la regulación del peso corporal. También participa en la síntesis de vitaminas, como la vitamina K y algunas del complejo B, y en la biotransformación de fármacos y xenobióticos, afectando su biodisponibilidad y eficacia terapéutica</w:t>
      </w:r>
      <w:r w:rsidR="0009365D" w:rsidRPr="003013DE">
        <w:rPr>
          <w:rFonts w:ascii="Times New Roman" w:hAnsi="Times New Roman" w:cs="Times New Roman"/>
          <w:bCs/>
          <w:sz w:val="24"/>
          <w:szCs w:val="24"/>
          <w:vertAlign w:val="superscript"/>
        </w:rPr>
        <w:t>35</w:t>
      </w:r>
      <w:r w:rsidRPr="003013DE">
        <w:rPr>
          <w:rFonts w:ascii="Times New Roman" w:hAnsi="Times New Roman" w:cs="Times New Roman"/>
          <w:bCs/>
          <w:sz w:val="24"/>
          <w:szCs w:val="24"/>
        </w:rPr>
        <w:t>.</w:t>
      </w:r>
    </w:p>
    <w:p w14:paraId="0254C602" w14:textId="718D2CE1" w:rsidR="00BA268C" w:rsidRPr="003013DE" w:rsidRDefault="00BA268C" w:rsidP="00505694">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Estas funciones posicionan al microbiota intestinal como un regulador clave de la homeostasis metabólica, con implicaciones directas en enfermedades como obesidad, diabetes tipo 2 y síndrome metabólico</w:t>
      </w:r>
      <w:r w:rsidR="0009365D" w:rsidRPr="003013DE">
        <w:rPr>
          <w:rFonts w:ascii="Times New Roman" w:hAnsi="Times New Roman" w:cs="Times New Roman"/>
          <w:bCs/>
          <w:sz w:val="24"/>
          <w:szCs w:val="24"/>
          <w:vertAlign w:val="superscript"/>
        </w:rPr>
        <w:t>35</w:t>
      </w:r>
      <w:r w:rsidRPr="003013DE">
        <w:rPr>
          <w:rFonts w:ascii="Times New Roman" w:hAnsi="Times New Roman" w:cs="Times New Roman"/>
          <w:bCs/>
          <w:sz w:val="24"/>
          <w:szCs w:val="24"/>
        </w:rPr>
        <w:t>.</w:t>
      </w:r>
    </w:p>
    <w:p w14:paraId="27946789" w14:textId="2BFAAB12" w:rsidR="00BA268C" w:rsidRPr="003013DE" w:rsidRDefault="00A40548" w:rsidP="0008506B">
      <w:pPr>
        <w:pStyle w:val="Ttulo3"/>
        <w:rPr>
          <w:rFonts w:ascii="Times New Roman" w:hAnsi="Times New Roman" w:cs="Times New Roman"/>
          <w:b/>
          <w:color w:val="auto"/>
          <w:sz w:val="24"/>
          <w:szCs w:val="24"/>
        </w:rPr>
      </w:pPr>
      <w:bookmarkStart w:id="35" w:name="_Toc223177125"/>
      <w:r w:rsidRPr="003013DE">
        <w:rPr>
          <w:rFonts w:ascii="Times New Roman" w:hAnsi="Times New Roman" w:cs="Times New Roman"/>
          <w:b/>
          <w:color w:val="auto"/>
          <w:sz w:val="24"/>
          <w:szCs w:val="24"/>
        </w:rPr>
        <w:t xml:space="preserve">2.1.2.2 </w:t>
      </w:r>
      <w:r w:rsidR="00BA268C" w:rsidRPr="003013DE">
        <w:rPr>
          <w:rFonts w:ascii="Times New Roman" w:hAnsi="Times New Roman" w:cs="Times New Roman"/>
          <w:b/>
          <w:color w:val="auto"/>
          <w:sz w:val="24"/>
          <w:szCs w:val="24"/>
        </w:rPr>
        <w:t>Funciones inmunológicas</w:t>
      </w:r>
      <w:bookmarkEnd w:id="35"/>
    </w:p>
    <w:p w14:paraId="6418526C" w14:textId="23B91249" w:rsidR="00BA268C" w:rsidRPr="003013DE" w:rsidRDefault="00B1533C" w:rsidP="007646A0">
      <w:pPr>
        <w:spacing w:before="240" w:line="360" w:lineRule="auto"/>
        <w:ind w:firstLine="708"/>
        <w:jc w:val="both"/>
        <w:rPr>
          <w:rFonts w:ascii="Times New Roman" w:hAnsi="Times New Roman" w:cs="Times New Roman"/>
          <w:bCs/>
          <w:sz w:val="24"/>
          <w:szCs w:val="24"/>
        </w:rPr>
      </w:pPr>
      <w:bookmarkStart w:id="36" w:name="_Int_4RsvmRtE"/>
      <w:r w:rsidRPr="003013DE">
        <w:rPr>
          <w:rFonts w:ascii="Times New Roman" w:hAnsi="Times New Roman" w:cs="Times New Roman"/>
          <w:bCs/>
          <w:sz w:val="24"/>
          <w:szCs w:val="24"/>
        </w:rPr>
        <w:t xml:space="preserve">La </w:t>
      </w:r>
      <w:r w:rsidR="00BA268C" w:rsidRPr="003013DE">
        <w:rPr>
          <w:rFonts w:ascii="Times New Roman" w:hAnsi="Times New Roman" w:cs="Times New Roman"/>
          <w:bCs/>
          <w:sz w:val="24"/>
          <w:szCs w:val="24"/>
        </w:rPr>
        <w:t>microbiota intestinal</w:t>
      </w:r>
      <w:bookmarkEnd w:id="36"/>
      <w:r w:rsidR="00BA268C" w:rsidRPr="003013DE">
        <w:rPr>
          <w:rFonts w:ascii="Times New Roman" w:hAnsi="Times New Roman" w:cs="Times New Roman"/>
          <w:bCs/>
          <w:sz w:val="24"/>
          <w:szCs w:val="24"/>
        </w:rPr>
        <w:t xml:space="preserve"> cumple un rol fundamental en el desarrollo, maduración y regulación del sistema inmunitario. Durante las primeras etapas de la vida, la exposición a microorganismos comensales es esencial para la correcta educación del sistema inmune, favoreciendo el equilibrio entre respuestas proinflamatorias y mecanismos de tolerancia</w:t>
      </w:r>
      <w:r w:rsidR="007018CA" w:rsidRPr="003013DE">
        <w:rPr>
          <w:rFonts w:ascii="Times New Roman" w:hAnsi="Times New Roman" w:cs="Times New Roman"/>
          <w:bCs/>
          <w:sz w:val="24"/>
          <w:szCs w:val="24"/>
          <w:vertAlign w:val="superscript"/>
        </w:rPr>
        <w:t>32-35</w:t>
      </w:r>
      <w:r w:rsidR="00BA268C" w:rsidRPr="003013DE">
        <w:rPr>
          <w:rFonts w:ascii="Times New Roman" w:hAnsi="Times New Roman" w:cs="Times New Roman"/>
          <w:bCs/>
          <w:sz w:val="24"/>
          <w:szCs w:val="24"/>
        </w:rPr>
        <w:t>.</w:t>
      </w:r>
    </w:p>
    <w:p w14:paraId="0317C915" w14:textId="14B5E220" w:rsidR="00BA268C" w:rsidRPr="003013DE" w:rsidRDefault="00BA268C" w:rsidP="00C318DE">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 nivel local, el microbiota estimula la producción de moco, refuerza las uniones estrechas del epitelio intestinal y compite con patógenos por nutrientes y nichos ecológicos, contribuyendo a la defensa de barrera. A nivel sistémico, sus metabolitos modulan la diferenciación y función de células inmunitarias, como linfocitos T reguladores, células dendríticas y macrófagos</w:t>
      </w:r>
      <w:r w:rsidR="007018CA" w:rsidRPr="003013DE">
        <w:rPr>
          <w:rFonts w:ascii="Times New Roman" w:hAnsi="Times New Roman" w:cs="Times New Roman"/>
          <w:bCs/>
          <w:sz w:val="24"/>
          <w:szCs w:val="24"/>
          <w:vertAlign w:val="superscript"/>
        </w:rPr>
        <w:t>32-34</w:t>
      </w:r>
      <w:r w:rsidRPr="003013DE">
        <w:rPr>
          <w:rFonts w:ascii="Times New Roman" w:hAnsi="Times New Roman" w:cs="Times New Roman"/>
          <w:bCs/>
          <w:sz w:val="24"/>
          <w:szCs w:val="24"/>
        </w:rPr>
        <w:t>.</w:t>
      </w:r>
    </w:p>
    <w:p w14:paraId="4289DE68" w14:textId="32BA62F0" w:rsidR="00BA268C" w:rsidRPr="003013DE" w:rsidRDefault="00BA268C" w:rsidP="00505694">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Los AGCC y otros metabolitos derivados del triptófano, ácidos biliares secundarios y polisacáridos microbianos actúan como moléculas señalizadoras inmunomoduladoras, regulando la inflamación y previniendo respuestas inmunes exacerbadas. La alteración de </w:t>
      </w:r>
      <w:r w:rsidRPr="003013DE">
        <w:rPr>
          <w:rFonts w:ascii="Times New Roman" w:hAnsi="Times New Roman" w:cs="Times New Roman"/>
          <w:bCs/>
          <w:sz w:val="24"/>
          <w:szCs w:val="24"/>
        </w:rPr>
        <w:lastRenderedPageBreak/>
        <w:t>estas interacciones se ha asociado con enfermedades inflamatorias intestinales, alergias, enfermedades autoinmunes y procesos inflamatorios crónicos</w:t>
      </w:r>
      <w:r w:rsidR="007018CA" w:rsidRPr="003013DE">
        <w:rPr>
          <w:rFonts w:ascii="Times New Roman" w:hAnsi="Times New Roman" w:cs="Times New Roman"/>
          <w:bCs/>
          <w:sz w:val="24"/>
          <w:szCs w:val="24"/>
          <w:vertAlign w:val="superscript"/>
        </w:rPr>
        <w:t>35</w:t>
      </w:r>
      <w:r w:rsidRPr="003013DE">
        <w:rPr>
          <w:rFonts w:ascii="Times New Roman" w:hAnsi="Times New Roman" w:cs="Times New Roman"/>
          <w:bCs/>
          <w:sz w:val="24"/>
          <w:szCs w:val="24"/>
        </w:rPr>
        <w:t>.</w:t>
      </w:r>
    </w:p>
    <w:p w14:paraId="1D91A1E1" w14:textId="5B91DADA" w:rsidR="00BA268C" w:rsidRPr="003013DE" w:rsidRDefault="00C318DE" w:rsidP="0008506B">
      <w:pPr>
        <w:pStyle w:val="Ttulo3"/>
        <w:rPr>
          <w:rFonts w:ascii="Times New Roman" w:hAnsi="Times New Roman" w:cs="Times New Roman"/>
          <w:b/>
          <w:color w:val="auto"/>
          <w:sz w:val="24"/>
          <w:szCs w:val="24"/>
        </w:rPr>
      </w:pPr>
      <w:bookmarkStart w:id="37" w:name="_Toc223177126"/>
      <w:r w:rsidRPr="003013DE">
        <w:rPr>
          <w:rFonts w:ascii="Times New Roman" w:hAnsi="Times New Roman" w:cs="Times New Roman"/>
          <w:b/>
          <w:color w:val="auto"/>
          <w:sz w:val="24"/>
          <w:szCs w:val="24"/>
        </w:rPr>
        <w:t xml:space="preserve">2.1.2.3 </w:t>
      </w:r>
      <w:r w:rsidR="00BA268C" w:rsidRPr="003013DE">
        <w:rPr>
          <w:rFonts w:ascii="Times New Roman" w:hAnsi="Times New Roman" w:cs="Times New Roman"/>
          <w:b/>
          <w:color w:val="auto"/>
          <w:sz w:val="24"/>
          <w:szCs w:val="24"/>
        </w:rPr>
        <w:t>Funciones neurológicas y eje microbiota-intestino-cerebro</w:t>
      </w:r>
      <w:bookmarkEnd w:id="37"/>
    </w:p>
    <w:p w14:paraId="3A2AAA97" w14:textId="1D548635" w:rsidR="00BA268C" w:rsidRPr="003013DE" w:rsidRDefault="00E03368" w:rsidP="007646A0">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microbiota intestinal también</w:t>
      </w:r>
      <w:r w:rsidR="00BA268C" w:rsidRPr="003013DE">
        <w:rPr>
          <w:rFonts w:ascii="Times New Roman" w:hAnsi="Times New Roman" w:cs="Times New Roman"/>
          <w:bCs/>
          <w:sz w:val="24"/>
          <w:szCs w:val="24"/>
        </w:rPr>
        <w:t xml:space="preserve"> ejerce una influencia significativa sobre el sistema nervioso, mediante la interacción bidireccional conocida como eje microbiota-intestino-cerebro. Este eje integra vías neurales (nervio vago y sistema nervioso entérico), endocrinas, inmunológicas y metabólicas</w:t>
      </w:r>
      <w:r w:rsidR="00375C0F" w:rsidRPr="003013DE">
        <w:rPr>
          <w:rFonts w:ascii="Times New Roman" w:hAnsi="Times New Roman" w:cs="Times New Roman"/>
          <w:bCs/>
          <w:sz w:val="24"/>
          <w:szCs w:val="24"/>
          <w:vertAlign w:val="superscript"/>
        </w:rPr>
        <w:t>36</w:t>
      </w:r>
      <w:r w:rsidR="00BA268C" w:rsidRPr="003013DE">
        <w:rPr>
          <w:rFonts w:ascii="Times New Roman" w:hAnsi="Times New Roman" w:cs="Times New Roman"/>
          <w:bCs/>
          <w:sz w:val="24"/>
          <w:szCs w:val="24"/>
        </w:rPr>
        <w:t>.</w:t>
      </w:r>
    </w:p>
    <w:p w14:paraId="3CF74106" w14:textId="61D2E345" w:rsidR="00BA268C" w:rsidRPr="003013DE" w:rsidRDefault="00BA268C" w:rsidP="005E14F1">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Diversos microorganismos intestinales son capaces de producir o modular neurotransmisores y neuromoduladores, como serotonina, ácido gamma-aminobutírico (GABA), dopamina y noradrenalina, los cuales influyen tanto en la motilidad intestinal como en funciones cerebrales superiores. Asimismo, los metabolitos microbianos pueden atravesar la barrera intestinal y afectar la permeabilidad de la barrera hematoencefálica, la activación microglial y la plasticidad sináptica</w:t>
      </w:r>
      <w:r w:rsidR="00375C0F" w:rsidRPr="003013DE">
        <w:rPr>
          <w:rFonts w:ascii="Times New Roman" w:hAnsi="Times New Roman" w:cs="Times New Roman"/>
          <w:bCs/>
          <w:sz w:val="24"/>
          <w:szCs w:val="24"/>
          <w:vertAlign w:val="superscript"/>
        </w:rPr>
        <w:t>35,46</w:t>
      </w:r>
      <w:r w:rsidRPr="003013DE">
        <w:rPr>
          <w:rFonts w:ascii="Times New Roman" w:hAnsi="Times New Roman" w:cs="Times New Roman"/>
          <w:bCs/>
          <w:sz w:val="24"/>
          <w:szCs w:val="24"/>
        </w:rPr>
        <w:t>.</w:t>
      </w:r>
    </w:p>
    <w:p w14:paraId="3C9E15C5" w14:textId="44C70B57" w:rsidR="00B138D8" w:rsidRPr="003013DE" w:rsidRDefault="00BA268C" w:rsidP="00B138D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evidencia científica ha demostrado asociaciones entre alteraciones del microbiota y trastornos neurológicos y psiquiátricos, como depresión, ansiedad, trastornos del espectro autista, enfermedad de Parkinson y Alzheimer, lo que resalta el papel del microbiota en la homeostasis neurológica y conductual</w:t>
      </w:r>
      <w:r w:rsidR="00375C0F" w:rsidRPr="003013DE">
        <w:rPr>
          <w:rFonts w:ascii="Times New Roman" w:hAnsi="Times New Roman" w:cs="Times New Roman"/>
          <w:bCs/>
          <w:sz w:val="24"/>
          <w:szCs w:val="24"/>
          <w:vertAlign w:val="superscript"/>
        </w:rPr>
        <w:t>36</w:t>
      </w:r>
      <w:r w:rsidRPr="003013DE">
        <w:rPr>
          <w:rFonts w:ascii="Times New Roman" w:hAnsi="Times New Roman" w:cs="Times New Roman"/>
          <w:bCs/>
          <w:sz w:val="24"/>
          <w:szCs w:val="24"/>
        </w:rPr>
        <w:t>.</w:t>
      </w:r>
    </w:p>
    <w:p w14:paraId="161B3600" w14:textId="1CEFB858" w:rsidR="00BA268C" w:rsidRPr="003013DE" w:rsidRDefault="00BA268C" w:rsidP="00B138D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conjunto, el microbiota intestinal actúa como un regulador central de la homeostasis metabólica, inmunológica y neurológica, integrando señales dietéticas, ambientales y genéticas para mantener el equilibrio fisiológico del organismo. Su adecuada composición y funcionalidad son esenciales para la salud, mientras que su alteración se reconoce como un factor clave en la fisiopatología de múltiples enfermedades crónicas</w:t>
      </w:r>
      <w:r w:rsidR="00375C0F" w:rsidRPr="003013DE">
        <w:rPr>
          <w:rFonts w:ascii="Times New Roman" w:hAnsi="Times New Roman" w:cs="Times New Roman"/>
          <w:bCs/>
          <w:sz w:val="24"/>
          <w:szCs w:val="24"/>
          <w:vertAlign w:val="superscript"/>
        </w:rPr>
        <w:t>3</w:t>
      </w:r>
      <w:r w:rsidR="007D5D55" w:rsidRPr="003013DE">
        <w:rPr>
          <w:rFonts w:ascii="Times New Roman" w:hAnsi="Times New Roman" w:cs="Times New Roman"/>
          <w:bCs/>
          <w:sz w:val="24"/>
          <w:szCs w:val="24"/>
          <w:vertAlign w:val="superscript"/>
        </w:rPr>
        <w:t>6</w:t>
      </w:r>
      <w:r w:rsidRPr="003013DE">
        <w:rPr>
          <w:rFonts w:ascii="Times New Roman" w:hAnsi="Times New Roman" w:cs="Times New Roman"/>
          <w:bCs/>
          <w:sz w:val="24"/>
          <w:szCs w:val="24"/>
        </w:rPr>
        <w:t>.</w:t>
      </w:r>
    </w:p>
    <w:p w14:paraId="1291493E" w14:textId="77777777" w:rsidR="00852FDA" w:rsidRPr="003013DE" w:rsidRDefault="00852FDA" w:rsidP="0008506B">
      <w:pPr>
        <w:pStyle w:val="Ttulo1"/>
        <w:rPr>
          <w:rFonts w:cs="Times New Roman"/>
          <w:b w:val="0"/>
          <w:color w:val="auto"/>
          <w:szCs w:val="24"/>
        </w:rPr>
      </w:pPr>
      <w:bookmarkStart w:id="38" w:name="_Toc223177127"/>
      <w:r w:rsidRPr="003013DE">
        <w:rPr>
          <w:rFonts w:cs="Times New Roman"/>
          <w:color w:val="auto"/>
          <w:szCs w:val="24"/>
        </w:rPr>
        <w:t>2.2. Desarrollo y dinámica del microbioma humano a lo largo del ciclo vital</w:t>
      </w:r>
      <w:bookmarkEnd w:id="38"/>
    </w:p>
    <w:p w14:paraId="3035CB2C" w14:textId="75D0512D" w:rsidR="006E4EDD" w:rsidRPr="003013DE" w:rsidRDefault="006E4EDD" w:rsidP="00AC0D81">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El microbioma humano es un ecosistema dinámico cuya composición y funcionalidad cambian de manera progresiva a lo largo del ciclo vital. Estas variaciones reflejan la interacción entre factores genéticos, dietéticos, ambientales y fisiológicos, y tienen implicaciones directas sobre la salud metabólica, inmunológica y neurológica del individuo. Desde el nacimiento hasta la vejez, el microbiota intestinal experimenta procesos de </w:t>
      </w:r>
      <w:r w:rsidRPr="003013DE">
        <w:rPr>
          <w:rFonts w:ascii="Times New Roman" w:hAnsi="Times New Roman" w:cs="Times New Roman"/>
          <w:bCs/>
          <w:sz w:val="24"/>
          <w:szCs w:val="24"/>
        </w:rPr>
        <w:lastRenderedPageBreak/>
        <w:t>colonización, maduración, estabilización y, finalmente, deterioro funcional asociado al envejecimiento</w:t>
      </w:r>
      <w:r w:rsidR="007D5D55" w:rsidRPr="003013DE">
        <w:rPr>
          <w:rFonts w:ascii="Times New Roman" w:hAnsi="Times New Roman" w:cs="Times New Roman"/>
          <w:bCs/>
          <w:sz w:val="24"/>
          <w:szCs w:val="24"/>
          <w:vertAlign w:val="superscript"/>
        </w:rPr>
        <w:t>37</w:t>
      </w:r>
      <w:r w:rsidRPr="003013DE">
        <w:rPr>
          <w:rFonts w:ascii="Times New Roman" w:hAnsi="Times New Roman" w:cs="Times New Roman"/>
          <w:bCs/>
          <w:sz w:val="24"/>
          <w:szCs w:val="24"/>
        </w:rPr>
        <w:t>.</w:t>
      </w:r>
    </w:p>
    <w:p w14:paraId="4CD876F8" w14:textId="1BF5655A"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desarrollo del microbiota intestinal comienza en etapas tempranas de la vida. Aunque tradicionalmente se consideraba que el intestino fetal era estéril, evidencia reciente sugiere una posible exposición microbiana intrauterina; sin embargo, la colonización significativa ocurre principalmente durante y después del nacimiento</w:t>
      </w:r>
      <w:r w:rsidR="007D5D55" w:rsidRPr="003013DE">
        <w:rPr>
          <w:rFonts w:ascii="Times New Roman" w:hAnsi="Times New Roman" w:cs="Times New Roman"/>
          <w:bCs/>
          <w:sz w:val="24"/>
          <w:szCs w:val="24"/>
          <w:vertAlign w:val="superscript"/>
        </w:rPr>
        <w:t>37</w:t>
      </w:r>
      <w:r w:rsidRPr="003013DE">
        <w:rPr>
          <w:rFonts w:ascii="Times New Roman" w:hAnsi="Times New Roman" w:cs="Times New Roman"/>
          <w:bCs/>
          <w:sz w:val="24"/>
          <w:szCs w:val="24"/>
        </w:rPr>
        <w:t>.</w:t>
      </w:r>
    </w:p>
    <w:p w14:paraId="180B7D8F" w14:textId="5438A105" w:rsidR="006E4EDD" w:rsidRPr="003013DE" w:rsidRDefault="006E4EDD" w:rsidP="002529A4">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tipo de parto constituye uno de los determinantes más relevantes en esta etapa. Los recién nacidos por parto vaginal adquieren una microbiota similar a la vaginal y fecal materna, dominada por Lactobacillus, Bacteroides y Prevotella. En contraste, los nacidos por cesárea presentan una colonización inicial caracterizada por microorganismos de la piel y del entorno hospitalario, como Staphylococcus y Corynebacterium, lo que se asocia con una menor diversidad microbiana temprana</w:t>
      </w:r>
      <w:r w:rsidR="007D5D55" w:rsidRPr="003013DE">
        <w:rPr>
          <w:rFonts w:ascii="Times New Roman" w:hAnsi="Times New Roman" w:cs="Times New Roman"/>
          <w:bCs/>
          <w:sz w:val="24"/>
          <w:szCs w:val="24"/>
          <w:vertAlign w:val="superscript"/>
        </w:rPr>
        <w:t>38</w:t>
      </w:r>
      <w:r w:rsidRPr="003013DE">
        <w:rPr>
          <w:rFonts w:ascii="Times New Roman" w:hAnsi="Times New Roman" w:cs="Times New Roman"/>
          <w:bCs/>
          <w:sz w:val="24"/>
          <w:szCs w:val="24"/>
        </w:rPr>
        <w:t>.</w:t>
      </w:r>
    </w:p>
    <w:p w14:paraId="28E21050" w14:textId="06502C78" w:rsidR="006E4EDD" w:rsidRPr="003013DE" w:rsidRDefault="006E4EDD" w:rsidP="002529A4">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alimentación neonatal también ejerce una influencia decisiva. La lactancia materna favorece el predominio de Bifidobacterium y Lactobacillus, gracias a la presencia de oligosacáridos de la leche humana que actúan como prebióticos selectivos. Por el contrario, la alimentación con fórmulas infantiles se asocia con una microbiota más diversa pero menos especializada, con mayor presencia de Clostridium y Enterobacteriaceae</w:t>
      </w:r>
      <w:r w:rsidR="007D5D55" w:rsidRPr="003013DE">
        <w:rPr>
          <w:rFonts w:ascii="Times New Roman" w:hAnsi="Times New Roman" w:cs="Times New Roman"/>
          <w:bCs/>
          <w:sz w:val="24"/>
          <w:szCs w:val="24"/>
          <w:vertAlign w:val="superscript"/>
        </w:rPr>
        <w:t>38</w:t>
      </w:r>
      <w:r w:rsidRPr="003013DE">
        <w:rPr>
          <w:rFonts w:ascii="Times New Roman" w:hAnsi="Times New Roman" w:cs="Times New Roman"/>
          <w:bCs/>
          <w:sz w:val="24"/>
          <w:szCs w:val="24"/>
        </w:rPr>
        <w:t>.</w:t>
      </w:r>
    </w:p>
    <w:p w14:paraId="03988A5C" w14:textId="1761FE90"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Durante este periodo, el microbiota cumple un rol esencial en la maduración del sistema inmunitario, el desarrollo de la barrera intestinal y la programación metabólica temprana, influyendo en el riesgo futuro de enfermedades alérgicas, metabólicas y autoinmunes</w:t>
      </w:r>
      <w:r w:rsidR="007D5D55" w:rsidRPr="003013DE">
        <w:rPr>
          <w:rFonts w:ascii="Times New Roman" w:hAnsi="Times New Roman" w:cs="Times New Roman"/>
          <w:bCs/>
          <w:sz w:val="24"/>
          <w:szCs w:val="24"/>
          <w:vertAlign w:val="superscript"/>
        </w:rPr>
        <w:t>38</w:t>
      </w:r>
      <w:r w:rsidRPr="003013DE">
        <w:rPr>
          <w:rFonts w:ascii="Times New Roman" w:hAnsi="Times New Roman" w:cs="Times New Roman"/>
          <w:bCs/>
          <w:sz w:val="24"/>
          <w:szCs w:val="24"/>
        </w:rPr>
        <w:t>.</w:t>
      </w:r>
    </w:p>
    <w:p w14:paraId="24108982" w14:textId="4B928EE9" w:rsidR="006E4EDD" w:rsidRPr="003013DE" w:rsidRDefault="003778C0" w:rsidP="0008506B">
      <w:pPr>
        <w:pStyle w:val="Ttulo2"/>
        <w:rPr>
          <w:rFonts w:ascii="Times New Roman" w:hAnsi="Times New Roman" w:cs="Times New Roman"/>
          <w:b/>
          <w:color w:val="auto"/>
          <w:sz w:val="24"/>
          <w:szCs w:val="24"/>
        </w:rPr>
      </w:pPr>
      <w:bookmarkStart w:id="39" w:name="_Toc223177128"/>
      <w:r w:rsidRPr="003013DE">
        <w:rPr>
          <w:rFonts w:ascii="Times New Roman" w:hAnsi="Times New Roman" w:cs="Times New Roman"/>
          <w:b/>
          <w:color w:val="auto"/>
          <w:sz w:val="24"/>
          <w:szCs w:val="24"/>
        </w:rPr>
        <w:t xml:space="preserve">2.2.1 </w:t>
      </w:r>
      <w:r w:rsidR="006E4EDD" w:rsidRPr="003013DE">
        <w:rPr>
          <w:rFonts w:ascii="Times New Roman" w:hAnsi="Times New Roman" w:cs="Times New Roman"/>
          <w:b/>
          <w:color w:val="auto"/>
          <w:sz w:val="24"/>
          <w:szCs w:val="24"/>
        </w:rPr>
        <w:t>Desarrollo y maduración del microbiota en la infancia y niñez</w:t>
      </w:r>
      <w:bookmarkEnd w:id="39"/>
    </w:p>
    <w:p w14:paraId="7D22CBA6" w14:textId="5A841209" w:rsidR="006E4EDD" w:rsidRPr="003013DE" w:rsidRDefault="006E4EDD" w:rsidP="00AC0D81">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Entre el primer año de vida y la niñez temprana, el microbiota intestinal atraviesa una fase de rápida expansión y diversificación, estrechamente vinculada a la introducción de alimentos sólidos y a la interacción con el entorno. Durante este periodo, se observa una transición progresiva hacia una composición más compleja y funcionalmente estable</w:t>
      </w:r>
      <w:r w:rsidR="007D5D55" w:rsidRPr="003013DE">
        <w:rPr>
          <w:rFonts w:ascii="Times New Roman" w:hAnsi="Times New Roman" w:cs="Times New Roman"/>
          <w:bCs/>
          <w:sz w:val="24"/>
          <w:szCs w:val="24"/>
          <w:vertAlign w:val="superscript"/>
        </w:rPr>
        <w:t>39</w:t>
      </w:r>
      <w:r w:rsidRPr="003013DE">
        <w:rPr>
          <w:rFonts w:ascii="Times New Roman" w:hAnsi="Times New Roman" w:cs="Times New Roman"/>
          <w:bCs/>
          <w:sz w:val="24"/>
          <w:szCs w:val="24"/>
        </w:rPr>
        <w:t>.</w:t>
      </w:r>
    </w:p>
    <w:p w14:paraId="7CCEAA56" w14:textId="2A2FB1C6" w:rsidR="006E4EDD" w:rsidRPr="003013DE" w:rsidRDefault="006E4EDD" w:rsidP="001421EE">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La diversificación dietética, particularmente la incorporación de fibras, proteínas y lípidos, favorece el establecimiento de comunidades microbianas especializadas en la </w:t>
      </w:r>
      <w:r w:rsidRPr="003013DE">
        <w:rPr>
          <w:rFonts w:ascii="Times New Roman" w:hAnsi="Times New Roman" w:cs="Times New Roman"/>
          <w:bCs/>
          <w:sz w:val="24"/>
          <w:szCs w:val="24"/>
        </w:rPr>
        <w:lastRenderedPageBreak/>
        <w:t>fermentación de carbohidratos complejos y en el metabolismo de nutrientes. Asimismo, la exposición ambiental, el contacto social, la higiene y el uso de antibióticos modulan significativamente la trayectoria de desarrollo del microbiota</w:t>
      </w:r>
      <w:r w:rsidR="00874266" w:rsidRPr="003013DE">
        <w:rPr>
          <w:rFonts w:ascii="Times New Roman" w:hAnsi="Times New Roman" w:cs="Times New Roman"/>
          <w:bCs/>
          <w:sz w:val="24"/>
          <w:szCs w:val="24"/>
          <w:vertAlign w:val="superscript"/>
        </w:rPr>
        <w:t>39</w:t>
      </w:r>
      <w:r w:rsidRPr="003013DE">
        <w:rPr>
          <w:rFonts w:ascii="Times New Roman" w:hAnsi="Times New Roman" w:cs="Times New Roman"/>
          <w:bCs/>
          <w:sz w:val="24"/>
          <w:szCs w:val="24"/>
        </w:rPr>
        <w:t>.</w:t>
      </w:r>
    </w:p>
    <w:p w14:paraId="1F698D3F" w14:textId="29C50BEB"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Hacia los 2–3 años de edad, el microbiota adquiere una estructura y funcionalidad similares a las del adulto, aunque aún conserva cierta plasticidad. Esta etapa es crítica para la consolidación de funciones inmunológicas y metabólicas, ya que alteraciones persistentes del microbiota durante la infancia se han asociado con mayor riesgo de obesidad, asma, alergias y trastornos gastrointestinales en etapas posteriores de la vida</w:t>
      </w:r>
      <w:r w:rsidR="00874266" w:rsidRPr="003013DE">
        <w:rPr>
          <w:rFonts w:ascii="Times New Roman" w:hAnsi="Times New Roman" w:cs="Times New Roman"/>
          <w:bCs/>
          <w:sz w:val="24"/>
          <w:szCs w:val="24"/>
          <w:vertAlign w:val="superscript"/>
        </w:rPr>
        <w:t>39</w:t>
      </w:r>
      <w:r w:rsidRPr="003013DE">
        <w:rPr>
          <w:rFonts w:ascii="Times New Roman" w:hAnsi="Times New Roman" w:cs="Times New Roman"/>
          <w:bCs/>
          <w:sz w:val="24"/>
          <w:szCs w:val="24"/>
        </w:rPr>
        <w:t>.</w:t>
      </w:r>
    </w:p>
    <w:p w14:paraId="141F6CC4" w14:textId="31832F5B" w:rsidR="006E4EDD" w:rsidRPr="003013DE" w:rsidRDefault="006C22E0" w:rsidP="001421EE">
      <w:pPr>
        <w:spacing w:line="360" w:lineRule="auto"/>
        <w:jc w:val="both"/>
        <w:rPr>
          <w:rFonts w:ascii="Times New Roman" w:hAnsi="Times New Roman" w:cs="Times New Roman"/>
          <w:b/>
          <w:sz w:val="24"/>
          <w:szCs w:val="24"/>
        </w:rPr>
      </w:pPr>
      <w:r w:rsidRPr="003013DE">
        <w:rPr>
          <w:rFonts w:ascii="Times New Roman" w:hAnsi="Times New Roman" w:cs="Times New Roman"/>
          <w:b/>
          <w:sz w:val="24"/>
          <w:szCs w:val="24"/>
        </w:rPr>
        <w:t xml:space="preserve">2.2.2 </w:t>
      </w:r>
      <w:r w:rsidR="006E4EDD" w:rsidRPr="003013DE">
        <w:rPr>
          <w:rFonts w:ascii="Times New Roman" w:hAnsi="Times New Roman" w:cs="Times New Roman"/>
          <w:b/>
          <w:sz w:val="24"/>
          <w:szCs w:val="24"/>
        </w:rPr>
        <w:t>Estabilidad del microbiota en la edad adulta</w:t>
      </w:r>
    </w:p>
    <w:p w14:paraId="4DE1CB19" w14:textId="7960F2A2" w:rsidR="006E4EDD" w:rsidRPr="003013DE" w:rsidRDefault="006E4EDD" w:rsidP="006D1457">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la edad adulta, el microbiota intestinal alcanza un estado de relativa estabilidad y resiliencia, caracterizado por una alta diversidad microbiana y una distribución equilibrada de los principales filos bacterianos. No obstante, esta estabilidad no implica invariabilidad, ya que el microbiota continúa respondiendo a cambios dietéticos, hormonales, ambientales y patológicos</w:t>
      </w:r>
      <w:r w:rsidR="004852B1" w:rsidRPr="003013DE">
        <w:rPr>
          <w:rFonts w:ascii="Times New Roman" w:hAnsi="Times New Roman" w:cs="Times New Roman"/>
          <w:bCs/>
          <w:sz w:val="24"/>
          <w:szCs w:val="24"/>
          <w:vertAlign w:val="superscript"/>
        </w:rPr>
        <w:t>40</w:t>
      </w:r>
      <w:r w:rsidRPr="003013DE">
        <w:rPr>
          <w:rFonts w:ascii="Times New Roman" w:hAnsi="Times New Roman" w:cs="Times New Roman"/>
          <w:bCs/>
          <w:sz w:val="24"/>
          <w:szCs w:val="24"/>
        </w:rPr>
        <w:t>.</w:t>
      </w:r>
    </w:p>
    <w:p w14:paraId="333B4E0A" w14:textId="6F16AA61" w:rsidR="006E4EDD" w:rsidRPr="003013DE" w:rsidRDefault="006E4EDD" w:rsidP="006D1457">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dieta es uno de los moduladores más influyentes en esta etapa. Dietas ricas en fibra vegetal promueven la abundancia de bacterias productoras de ácidos grasos de cadena corta, mientras que patrones alimentarios occidentales, ricos en grasas saturadas y azúcares refinados, se asocian con menor diversidad y mayor inflamación de bajo grado</w:t>
      </w:r>
      <w:r w:rsidR="004852B1" w:rsidRPr="003013DE">
        <w:rPr>
          <w:rFonts w:ascii="Times New Roman" w:hAnsi="Times New Roman" w:cs="Times New Roman"/>
          <w:bCs/>
          <w:sz w:val="24"/>
          <w:szCs w:val="24"/>
          <w:vertAlign w:val="superscript"/>
        </w:rPr>
        <w:t>40</w:t>
      </w:r>
      <w:r w:rsidRPr="003013DE">
        <w:rPr>
          <w:rFonts w:ascii="Times New Roman" w:hAnsi="Times New Roman" w:cs="Times New Roman"/>
          <w:bCs/>
          <w:sz w:val="24"/>
          <w:szCs w:val="24"/>
        </w:rPr>
        <w:t>.</w:t>
      </w:r>
    </w:p>
    <w:p w14:paraId="2A377DD9" w14:textId="54BF1FDA" w:rsidR="006E4EDD" w:rsidRPr="003013DE" w:rsidRDefault="006E4EDD" w:rsidP="00FB3493">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Otros factores relevantes incluyen el estrés, la actividad física, el consumo de medicamentos (especialmente antibióticos, antiinflamatorios y metformina) y las condiciones de salud crónicas. La interacción entre el microbiota adulto y el hospedador es fundamental para el mantenimiento de la homeostasis metabólica, inmunológica y neurológica, como se describió en el apartado anterior</w:t>
      </w:r>
      <w:r w:rsidR="004852B1" w:rsidRPr="003013DE">
        <w:rPr>
          <w:rFonts w:ascii="Times New Roman" w:hAnsi="Times New Roman" w:cs="Times New Roman"/>
          <w:bCs/>
          <w:sz w:val="24"/>
          <w:szCs w:val="24"/>
          <w:vertAlign w:val="superscript"/>
        </w:rPr>
        <w:t>40</w:t>
      </w:r>
      <w:r w:rsidRPr="003013DE">
        <w:rPr>
          <w:rFonts w:ascii="Times New Roman" w:hAnsi="Times New Roman" w:cs="Times New Roman"/>
          <w:bCs/>
          <w:sz w:val="24"/>
          <w:szCs w:val="24"/>
        </w:rPr>
        <w:t>.</w:t>
      </w:r>
    </w:p>
    <w:p w14:paraId="1689C1FF" w14:textId="65963498" w:rsidR="006E4EDD" w:rsidRPr="003013DE" w:rsidRDefault="001419D8" w:rsidP="0008506B">
      <w:pPr>
        <w:pStyle w:val="Ttulo3"/>
        <w:rPr>
          <w:rFonts w:ascii="Times New Roman" w:hAnsi="Times New Roman" w:cs="Times New Roman"/>
          <w:b/>
          <w:color w:val="auto"/>
          <w:sz w:val="24"/>
          <w:szCs w:val="24"/>
        </w:rPr>
      </w:pPr>
      <w:bookmarkStart w:id="40" w:name="_Toc223177129"/>
      <w:r w:rsidRPr="003013DE">
        <w:rPr>
          <w:rFonts w:ascii="Times New Roman" w:hAnsi="Times New Roman" w:cs="Times New Roman"/>
          <w:b/>
          <w:color w:val="auto"/>
          <w:sz w:val="24"/>
          <w:szCs w:val="24"/>
        </w:rPr>
        <w:t xml:space="preserve">2.2.3 </w:t>
      </w:r>
      <w:r w:rsidR="006E4EDD" w:rsidRPr="003013DE">
        <w:rPr>
          <w:rFonts w:ascii="Times New Roman" w:hAnsi="Times New Roman" w:cs="Times New Roman"/>
          <w:b/>
          <w:color w:val="auto"/>
          <w:sz w:val="24"/>
          <w:szCs w:val="24"/>
        </w:rPr>
        <w:t>Cambios del microbiota durante el envejecimiento y la vejez</w:t>
      </w:r>
      <w:bookmarkEnd w:id="40"/>
    </w:p>
    <w:p w14:paraId="701153C8" w14:textId="01D4AC9C" w:rsidR="006E4EDD" w:rsidRPr="003013DE" w:rsidRDefault="006E4EDD" w:rsidP="001E097B">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El envejecimiento se asocia con modificaciones significativas en la composición y función del microbiota intestinal. En la vejez, se observa generalmente una disminución de la diversidad microbiana, una reducción de bacterias beneficiosas (como Bifidobacterium y </w:t>
      </w:r>
      <w:r w:rsidRPr="003013DE">
        <w:rPr>
          <w:rFonts w:ascii="Times New Roman" w:hAnsi="Times New Roman" w:cs="Times New Roman"/>
          <w:bCs/>
          <w:sz w:val="24"/>
          <w:szCs w:val="24"/>
        </w:rPr>
        <w:lastRenderedPageBreak/>
        <w:t>Faecalibacterium prausnitzii) y un aumento relativo de microorganismos potencialmente proinflamatorios</w:t>
      </w:r>
      <w:r w:rsidR="004852B1" w:rsidRPr="003013DE">
        <w:rPr>
          <w:rFonts w:ascii="Times New Roman" w:hAnsi="Times New Roman" w:cs="Times New Roman"/>
          <w:bCs/>
          <w:sz w:val="24"/>
          <w:szCs w:val="24"/>
          <w:vertAlign w:val="superscript"/>
        </w:rPr>
        <w:t>41</w:t>
      </w:r>
      <w:r w:rsidRPr="003013DE">
        <w:rPr>
          <w:rFonts w:ascii="Times New Roman" w:hAnsi="Times New Roman" w:cs="Times New Roman"/>
          <w:bCs/>
          <w:sz w:val="24"/>
          <w:szCs w:val="24"/>
        </w:rPr>
        <w:t>.</w:t>
      </w:r>
    </w:p>
    <w:p w14:paraId="63C81870" w14:textId="77777777"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Estos cambios están influenciados por múltiples factores, entre ellos:</w:t>
      </w:r>
    </w:p>
    <w:p w14:paraId="0E5E7966" w14:textId="77777777"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b/>
        <w:t>•</w:t>
      </w:r>
      <w:r w:rsidRPr="003013DE">
        <w:rPr>
          <w:rFonts w:ascii="Times New Roman" w:hAnsi="Times New Roman" w:cs="Times New Roman"/>
          <w:bCs/>
          <w:sz w:val="24"/>
          <w:szCs w:val="24"/>
        </w:rPr>
        <w:tab/>
        <w:t>Alteraciones fisiológicas del tracto gastrointestinal,</w:t>
      </w:r>
    </w:p>
    <w:p w14:paraId="5964096E" w14:textId="77777777"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b/>
        <w:t>•</w:t>
      </w:r>
      <w:r w:rsidRPr="003013DE">
        <w:rPr>
          <w:rFonts w:ascii="Times New Roman" w:hAnsi="Times New Roman" w:cs="Times New Roman"/>
          <w:bCs/>
          <w:sz w:val="24"/>
          <w:szCs w:val="24"/>
        </w:rPr>
        <w:tab/>
        <w:t>Cambios en la dieta y en el apetito,</w:t>
      </w:r>
    </w:p>
    <w:p w14:paraId="6DCAB6D2" w14:textId="77777777"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b/>
        <w:t>•</w:t>
      </w:r>
      <w:r w:rsidRPr="003013DE">
        <w:rPr>
          <w:rFonts w:ascii="Times New Roman" w:hAnsi="Times New Roman" w:cs="Times New Roman"/>
          <w:bCs/>
          <w:sz w:val="24"/>
          <w:szCs w:val="24"/>
        </w:rPr>
        <w:tab/>
        <w:t>Mayor consumo de fármacos,</w:t>
      </w:r>
    </w:p>
    <w:p w14:paraId="14D48BC8" w14:textId="77777777" w:rsidR="006E4EDD" w:rsidRPr="003013DE" w:rsidRDefault="006E4EDD" w:rsidP="006E4ED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b/>
        <w:t>•</w:t>
      </w:r>
      <w:r w:rsidRPr="003013DE">
        <w:rPr>
          <w:rFonts w:ascii="Times New Roman" w:hAnsi="Times New Roman" w:cs="Times New Roman"/>
          <w:bCs/>
          <w:sz w:val="24"/>
          <w:szCs w:val="24"/>
        </w:rPr>
        <w:tab/>
        <w:t>Reducción de la actividad física y</w:t>
      </w:r>
    </w:p>
    <w:p w14:paraId="48869570" w14:textId="178785B7" w:rsidR="006E4EDD" w:rsidRPr="003013DE" w:rsidRDefault="006E4EDD" w:rsidP="00CE0F0C">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b/>
        <w:t>•</w:t>
      </w:r>
      <w:r w:rsidRPr="003013DE">
        <w:rPr>
          <w:rFonts w:ascii="Times New Roman" w:hAnsi="Times New Roman" w:cs="Times New Roman"/>
          <w:bCs/>
          <w:sz w:val="24"/>
          <w:szCs w:val="24"/>
        </w:rPr>
        <w:tab/>
        <w:t>Presencia de enfermedades crónicas</w:t>
      </w:r>
      <w:r w:rsidR="004852B1" w:rsidRPr="003013DE">
        <w:rPr>
          <w:rFonts w:ascii="Times New Roman" w:hAnsi="Times New Roman" w:cs="Times New Roman"/>
          <w:bCs/>
          <w:sz w:val="24"/>
          <w:szCs w:val="24"/>
          <w:vertAlign w:val="superscript"/>
        </w:rPr>
        <w:t>41</w:t>
      </w:r>
      <w:r w:rsidRPr="003013DE">
        <w:rPr>
          <w:rFonts w:ascii="Times New Roman" w:hAnsi="Times New Roman" w:cs="Times New Roman"/>
          <w:bCs/>
          <w:sz w:val="24"/>
          <w:szCs w:val="24"/>
        </w:rPr>
        <w:t>.</w:t>
      </w:r>
    </w:p>
    <w:p w14:paraId="55578FCC" w14:textId="4E6C867B" w:rsidR="006E4EDD" w:rsidRPr="003013DE" w:rsidRDefault="006E4EDD" w:rsidP="00A3284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asociada al envejecimiento se ha vinculado con un estado de inflamación crónica de bajo grado (“inflammaging”), deterioro de la función inmunitaria, fragilidad, sarcopenia y mayor susceptibilidad a infecciones. No obstante, estudios en poblaciones longevas sugieren que la preservación de un microbiota diverso y funcional puede contribuir a un envejecimiento saludable</w:t>
      </w:r>
      <w:r w:rsidR="00155DDC" w:rsidRPr="003013DE">
        <w:rPr>
          <w:rFonts w:ascii="Times New Roman" w:hAnsi="Times New Roman" w:cs="Times New Roman"/>
          <w:bCs/>
          <w:sz w:val="24"/>
          <w:szCs w:val="24"/>
          <w:vertAlign w:val="superscript"/>
        </w:rPr>
        <w:t>41</w:t>
      </w:r>
      <w:r w:rsidRPr="003013DE">
        <w:rPr>
          <w:rFonts w:ascii="Times New Roman" w:hAnsi="Times New Roman" w:cs="Times New Roman"/>
          <w:bCs/>
          <w:sz w:val="24"/>
          <w:szCs w:val="24"/>
        </w:rPr>
        <w:t>.</w:t>
      </w:r>
    </w:p>
    <w:p w14:paraId="0FD2473D" w14:textId="6DCDB247" w:rsidR="00F07658" w:rsidRPr="003013DE" w:rsidRDefault="00852FDA" w:rsidP="0008506B">
      <w:pPr>
        <w:pStyle w:val="Ttulo2"/>
        <w:rPr>
          <w:rFonts w:ascii="Times New Roman" w:hAnsi="Times New Roman" w:cs="Times New Roman"/>
          <w:b/>
          <w:color w:val="auto"/>
          <w:sz w:val="24"/>
          <w:szCs w:val="24"/>
        </w:rPr>
      </w:pPr>
      <w:bookmarkStart w:id="41" w:name="_Toc223177130"/>
      <w:r w:rsidRPr="003013DE">
        <w:rPr>
          <w:rFonts w:ascii="Times New Roman" w:hAnsi="Times New Roman" w:cs="Times New Roman"/>
          <w:b/>
          <w:color w:val="auto"/>
          <w:sz w:val="24"/>
          <w:szCs w:val="24"/>
        </w:rPr>
        <w:t>2.3. Eje intestino–cerebro: comunicación bidirecciona</w:t>
      </w:r>
      <w:r w:rsidR="00E43FF2" w:rsidRPr="003013DE">
        <w:rPr>
          <w:rFonts w:ascii="Times New Roman" w:hAnsi="Times New Roman" w:cs="Times New Roman"/>
          <w:b/>
          <w:color w:val="auto"/>
          <w:sz w:val="24"/>
          <w:szCs w:val="24"/>
        </w:rPr>
        <w:t>l</w:t>
      </w:r>
      <w:bookmarkEnd w:id="41"/>
    </w:p>
    <w:p w14:paraId="255C7DB1" w14:textId="08F7C528" w:rsidR="00F44C9D" w:rsidRPr="003013DE" w:rsidRDefault="00F44C9D" w:rsidP="001E097B">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eje intestino–cerebro constituye una red de comunicación bidireccional altamente compleja que integra señales provenientes del sistema nervioso central (SNC), el sistema nervioso entérico (SNE), el sistema inmunológico y la microbiota intestinal. Este eje permite la coordinación funcional entre el tracto gastrointestinal y el cerebro, regulando procesos fisiológicos esenciales como la digestión, la respuesta al estrés, la conducta, la inmunidad y el metabolismo energético</w:t>
      </w:r>
      <w:r w:rsidR="009E7A66" w:rsidRPr="003013DE">
        <w:rPr>
          <w:rFonts w:ascii="Times New Roman" w:hAnsi="Times New Roman" w:cs="Times New Roman"/>
          <w:bCs/>
          <w:sz w:val="24"/>
          <w:szCs w:val="24"/>
          <w:vertAlign w:val="superscript"/>
        </w:rPr>
        <w:t>42</w:t>
      </w:r>
      <w:r w:rsidRPr="003013DE">
        <w:rPr>
          <w:rFonts w:ascii="Times New Roman" w:hAnsi="Times New Roman" w:cs="Times New Roman"/>
          <w:bCs/>
          <w:sz w:val="24"/>
          <w:szCs w:val="24"/>
        </w:rPr>
        <w:t>.</w:t>
      </w:r>
    </w:p>
    <w:p w14:paraId="3108C171" w14:textId="28D9D9ED" w:rsidR="00F44C9D" w:rsidRPr="003013DE" w:rsidRDefault="00F44C9D" w:rsidP="00F0765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Desde una perspectiva fisiológica, el eje intestino–cerebro opera a través de múltiples vías de señalización interconectadas, incluyendo mecanismos neuronales, endocrinos, inmunológicos y metabólicos. Estas vías no actúan de manera aislada, sino que se superponen e interactúan dinámicamente, permitiendo una respuesta integrada del organismo frente a estímulos internos y externos</w:t>
      </w:r>
      <w:r w:rsidR="009E7A66" w:rsidRPr="003013DE">
        <w:rPr>
          <w:rFonts w:ascii="Times New Roman" w:hAnsi="Times New Roman" w:cs="Times New Roman"/>
          <w:bCs/>
          <w:sz w:val="24"/>
          <w:szCs w:val="24"/>
          <w:vertAlign w:val="superscript"/>
        </w:rPr>
        <w:t>42</w:t>
      </w:r>
      <w:r w:rsidRPr="003013DE">
        <w:rPr>
          <w:rFonts w:ascii="Times New Roman" w:hAnsi="Times New Roman" w:cs="Times New Roman"/>
          <w:bCs/>
          <w:sz w:val="24"/>
          <w:szCs w:val="24"/>
        </w:rPr>
        <w:t>.</w:t>
      </w:r>
    </w:p>
    <w:p w14:paraId="37F1DAF3" w14:textId="775E238A" w:rsidR="00F44C9D" w:rsidRPr="003013DE" w:rsidRDefault="00F44C9D" w:rsidP="00F44C9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La relevancia de este eje ha cobrado especial interés en las últimas décadas debido a la creciente evidencia que vincula alteraciones en la comunicación intestino–cerebro con </w:t>
      </w:r>
      <w:r w:rsidRPr="003013DE">
        <w:rPr>
          <w:rFonts w:ascii="Times New Roman" w:hAnsi="Times New Roman" w:cs="Times New Roman"/>
          <w:bCs/>
          <w:sz w:val="24"/>
          <w:szCs w:val="24"/>
        </w:rPr>
        <w:lastRenderedPageBreak/>
        <w:t>trastornos gastrointestinales funcionales, enfermedades neuropsiquiátricas, patologías neurodegenerativas y procesos inflamatorios sistémicos, posicionándolo como un componente central en la comprensión de la salud y la enfermedad</w:t>
      </w:r>
      <w:r w:rsidR="009E7A66" w:rsidRPr="003013DE">
        <w:rPr>
          <w:rFonts w:ascii="Times New Roman" w:hAnsi="Times New Roman" w:cs="Times New Roman"/>
          <w:bCs/>
          <w:sz w:val="24"/>
          <w:szCs w:val="24"/>
          <w:vertAlign w:val="superscript"/>
        </w:rPr>
        <w:t>42</w:t>
      </w:r>
      <w:r w:rsidRPr="003013DE">
        <w:rPr>
          <w:rFonts w:ascii="Times New Roman" w:hAnsi="Times New Roman" w:cs="Times New Roman"/>
          <w:bCs/>
          <w:sz w:val="24"/>
          <w:szCs w:val="24"/>
        </w:rPr>
        <w:t>.</w:t>
      </w:r>
    </w:p>
    <w:p w14:paraId="27C710BF" w14:textId="6FA065EC" w:rsidR="00F44C9D" w:rsidRPr="003013DE" w:rsidRDefault="00F07658" w:rsidP="0008506B">
      <w:pPr>
        <w:pStyle w:val="Ttulo3"/>
        <w:rPr>
          <w:rFonts w:ascii="Times New Roman" w:hAnsi="Times New Roman" w:cs="Times New Roman"/>
          <w:b/>
          <w:color w:val="auto"/>
          <w:sz w:val="24"/>
          <w:szCs w:val="24"/>
        </w:rPr>
      </w:pPr>
      <w:bookmarkStart w:id="42" w:name="_Toc223177131"/>
      <w:r w:rsidRPr="003013DE">
        <w:rPr>
          <w:rFonts w:ascii="Times New Roman" w:hAnsi="Times New Roman" w:cs="Times New Roman"/>
          <w:b/>
          <w:color w:val="auto"/>
          <w:sz w:val="24"/>
          <w:szCs w:val="24"/>
        </w:rPr>
        <w:t xml:space="preserve">2.3.1 </w:t>
      </w:r>
      <w:r w:rsidR="00F44C9D" w:rsidRPr="003013DE">
        <w:rPr>
          <w:rFonts w:ascii="Times New Roman" w:hAnsi="Times New Roman" w:cs="Times New Roman"/>
          <w:b/>
          <w:color w:val="auto"/>
          <w:sz w:val="24"/>
          <w:szCs w:val="24"/>
        </w:rPr>
        <w:t>Sistema nervioso central (SNC) en el eje intestino–cerebro</w:t>
      </w:r>
      <w:bookmarkEnd w:id="42"/>
    </w:p>
    <w:p w14:paraId="14643B1D" w14:textId="2A3697A7" w:rsidR="00F07658" w:rsidRPr="003013DE" w:rsidRDefault="00F44C9D" w:rsidP="001E097B">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sistema nervioso central actúa como el principal centro integrador del eje intestino–cerebro, procesando información sensorial proveniente del tracto gastrointestinal y modulando respuestas motoras, secretoras e inmunológicas. Regiones cerebrales como el hipotálamo, la amígdala, el hipocampo y el tronco encefálico desempeñan un papel clave en la integración de señales viscerales con estados emocionales y cognitivos</w:t>
      </w:r>
      <w:r w:rsidR="009E7A66" w:rsidRPr="003013DE">
        <w:rPr>
          <w:rFonts w:ascii="Times New Roman" w:hAnsi="Times New Roman" w:cs="Times New Roman"/>
          <w:bCs/>
          <w:sz w:val="24"/>
          <w:szCs w:val="24"/>
          <w:vertAlign w:val="superscript"/>
        </w:rPr>
        <w:t>41-43</w:t>
      </w:r>
      <w:r w:rsidRPr="003013DE">
        <w:rPr>
          <w:rFonts w:ascii="Times New Roman" w:hAnsi="Times New Roman" w:cs="Times New Roman"/>
          <w:bCs/>
          <w:sz w:val="24"/>
          <w:szCs w:val="24"/>
        </w:rPr>
        <w:t>.</w:t>
      </w:r>
    </w:p>
    <w:p w14:paraId="3C2C5798" w14:textId="24567309" w:rsidR="00F44C9D" w:rsidRPr="003013DE" w:rsidRDefault="00F44C9D" w:rsidP="00F0765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 través del sistema nervioso autónomo y del eje hipotálamo–hipófisis–adrenal (HHA), el SNC regula funciones gastrointestinales como la motilidad intestinal, la secreción gástrica, la permeabilidad de la mucosa y el flujo sanguíneo esplácnico. Estas vías permiten que factores psicológicos, como el estrés o la ansiedad, influyan directamente sobre la función intestinal y la composición del microbiota</w:t>
      </w:r>
      <w:r w:rsidR="009E7A66" w:rsidRPr="003013DE">
        <w:rPr>
          <w:rFonts w:ascii="Times New Roman" w:hAnsi="Times New Roman" w:cs="Times New Roman"/>
          <w:bCs/>
          <w:sz w:val="24"/>
          <w:szCs w:val="24"/>
          <w:vertAlign w:val="superscript"/>
        </w:rPr>
        <w:t>41-43</w:t>
      </w:r>
      <w:r w:rsidRPr="003013DE">
        <w:rPr>
          <w:rFonts w:ascii="Times New Roman" w:hAnsi="Times New Roman" w:cs="Times New Roman"/>
          <w:bCs/>
          <w:sz w:val="24"/>
          <w:szCs w:val="24"/>
        </w:rPr>
        <w:t>.</w:t>
      </w:r>
    </w:p>
    <w:p w14:paraId="663E00A8" w14:textId="73AC0957" w:rsidR="00D112BF" w:rsidRPr="003013DE" w:rsidRDefault="00F44C9D" w:rsidP="00D112B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 manera recíproca, el SNC recibe señales ascendentes procedentes del intestino y de la microbiota, mediadas por fibras nerviosas aferentes, citocinas inmunológicas y metabolitos microbianos. Estas señales pueden modificar la actividad neuronal, la neuroplasticidad y la respuesta neuroendocrina, evidenciando el papel activo del intestino como modulador de la función cerebral</w:t>
      </w:r>
      <w:r w:rsidR="00F71B88" w:rsidRPr="003013DE">
        <w:rPr>
          <w:rFonts w:ascii="Times New Roman" w:hAnsi="Times New Roman" w:cs="Times New Roman"/>
          <w:bCs/>
          <w:sz w:val="24"/>
          <w:szCs w:val="24"/>
          <w:vertAlign w:val="superscript"/>
        </w:rPr>
        <w:t>41-43</w:t>
      </w:r>
      <w:r w:rsidRPr="003013DE">
        <w:rPr>
          <w:rFonts w:ascii="Times New Roman" w:hAnsi="Times New Roman" w:cs="Times New Roman"/>
          <w:bCs/>
          <w:sz w:val="24"/>
          <w:szCs w:val="24"/>
        </w:rPr>
        <w:t>.</w:t>
      </w:r>
    </w:p>
    <w:p w14:paraId="50A75586" w14:textId="77777777" w:rsidR="0008506B" w:rsidRPr="003013DE" w:rsidRDefault="0008506B" w:rsidP="004E012C">
      <w:pPr>
        <w:spacing w:line="360" w:lineRule="auto"/>
        <w:jc w:val="center"/>
        <w:rPr>
          <w:rFonts w:ascii="Times New Roman" w:hAnsi="Times New Roman" w:cs="Times New Roman"/>
          <w:b/>
          <w:sz w:val="24"/>
          <w:szCs w:val="24"/>
        </w:rPr>
      </w:pPr>
    </w:p>
    <w:p w14:paraId="22FB0291" w14:textId="38B83926" w:rsidR="0008506B" w:rsidRDefault="0008506B" w:rsidP="004E012C">
      <w:pPr>
        <w:spacing w:line="360" w:lineRule="auto"/>
        <w:jc w:val="center"/>
        <w:rPr>
          <w:rFonts w:ascii="Times New Roman" w:hAnsi="Times New Roman" w:cs="Times New Roman"/>
          <w:b/>
          <w:sz w:val="24"/>
          <w:szCs w:val="24"/>
        </w:rPr>
      </w:pPr>
    </w:p>
    <w:p w14:paraId="0E7527C5" w14:textId="3F83768D" w:rsidR="003013DE" w:rsidRDefault="003013DE" w:rsidP="004E012C">
      <w:pPr>
        <w:spacing w:line="360" w:lineRule="auto"/>
        <w:jc w:val="center"/>
        <w:rPr>
          <w:rFonts w:ascii="Times New Roman" w:hAnsi="Times New Roman" w:cs="Times New Roman"/>
          <w:b/>
          <w:sz w:val="24"/>
          <w:szCs w:val="24"/>
        </w:rPr>
      </w:pPr>
    </w:p>
    <w:p w14:paraId="3167CBBA" w14:textId="75FF6380" w:rsidR="003013DE" w:rsidRDefault="003013DE" w:rsidP="004E012C">
      <w:pPr>
        <w:spacing w:line="360" w:lineRule="auto"/>
        <w:jc w:val="center"/>
        <w:rPr>
          <w:rFonts w:ascii="Times New Roman" w:hAnsi="Times New Roman" w:cs="Times New Roman"/>
          <w:b/>
          <w:sz w:val="24"/>
          <w:szCs w:val="24"/>
        </w:rPr>
      </w:pPr>
    </w:p>
    <w:p w14:paraId="619929E6" w14:textId="77777777" w:rsidR="003013DE" w:rsidRPr="003013DE" w:rsidRDefault="003013DE" w:rsidP="004E012C">
      <w:pPr>
        <w:spacing w:line="360" w:lineRule="auto"/>
        <w:jc w:val="center"/>
        <w:rPr>
          <w:rFonts w:ascii="Times New Roman" w:hAnsi="Times New Roman" w:cs="Times New Roman"/>
          <w:b/>
          <w:sz w:val="24"/>
          <w:szCs w:val="24"/>
        </w:rPr>
      </w:pPr>
    </w:p>
    <w:p w14:paraId="5A73FAF3" w14:textId="77777777" w:rsidR="0008506B" w:rsidRPr="003013DE" w:rsidRDefault="0008506B" w:rsidP="004E012C">
      <w:pPr>
        <w:spacing w:line="360" w:lineRule="auto"/>
        <w:jc w:val="center"/>
        <w:rPr>
          <w:rFonts w:ascii="Times New Roman" w:hAnsi="Times New Roman" w:cs="Times New Roman"/>
          <w:b/>
          <w:sz w:val="24"/>
          <w:szCs w:val="24"/>
        </w:rPr>
      </w:pPr>
    </w:p>
    <w:p w14:paraId="768AF040" w14:textId="77777777" w:rsidR="0008506B" w:rsidRPr="003013DE" w:rsidRDefault="0008506B" w:rsidP="004E012C">
      <w:pPr>
        <w:spacing w:line="360" w:lineRule="auto"/>
        <w:jc w:val="center"/>
        <w:rPr>
          <w:rFonts w:ascii="Times New Roman" w:hAnsi="Times New Roman" w:cs="Times New Roman"/>
          <w:b/>
          <w:sz w:val="24"/>
          <w:szCs w:val="24"/>
        </w:rPr>
      </w:pPr>
    </w:p>
    <w:p w14:paraId="7F7A078C" w14:textId="77777777" w:rsidR="0008506B" w:rsidRPr="003013DE" w:rsidRDefault="0008506B" w:rsidP="004E012C">
      <w:pPr>
        <w:spacing w:line="360" w:lineRule="auto"/>
        <w:jc w:val="center"/>
        <w:rPr>
          <w:rFonts w:ascii="Times New Roman" w:hAnsi="Times New Roman" w:cs="Times New Roman"/>
          <w:b/>
          <w:sz w:val="24"/>
          <w:szCs w:val="24"/>
        </w:rPr>
      </w:pPr>
    </w:p>
    <w:p w14:paraId="67A41124" w14:textId="77777777" w:rsidR="0008506B" w:rsidRPr="003013DE" w:rsidRDefault="0008506B" w:rsidP="004E012C">
      <w:pPr>
        <w:spacing w:line="360" w:lineRule="auto"/>
        <w:jc w:val="center"/>
        <w:rPr>
          <w:rFonts w:ascii="Times New Roman" w:hAnsi="Times New Roman" w:cs="Times New Roman"/>
          <w:b/>
          <w:sz w:val="24"/>
          <w:szCs w:val="24"/>
        </w:rPr>
      </w:pPr>
    </w:p>
    <w:p w14:paraId="5AA14BA5" w14:textId="77777777" w:rsidR="0008506B" w:rsidRPr="003013DE" w:rsidRDefault="0008506B" w:rsidP="004E012C">
      <w:pPr>
        <w:spacing w:line="360" w:lineRule="auto"/>
        <w:jc w:val="center"/>
        <w:rPr>
          <w:rFonts w:ascii="Times New Roman" w:hAnsi="Times New Roman" w:cs="Times New Roman"/>
          <w:b/>
          <w:sz w:val="24"/>
          <w:szCs w:val="24"/>
        </w:rPr>
      </w:pPr>
    </w:p>
    <w:p w14:paraId="7F86CDE4" w14:textId="6AC9EBC9" w:rsidR="00D112BF" w:rsidRPr="00F35382" w:rsidRDefault="0008506B" w:rsidP="0008506B">
      <w:pPr>
        <w:jc w:val="center"/>
        <w:rPr>
          <w:rFonts w:ascii="Times New Roman" w:hAnsi="Times New Roman" w:cs="Times New Roman"/>
          <w:b/>
          <w:sz w:val="24"/>
          <w:szCs w:val="24"/>
        </w:rPr>
      </w:pPr>
      <w:bookmarkStart w:id="43" w:name="_Toc223177503"/>
      <w:r w:rsidRPr="00F35382">
        <w:rPr>
          <w:rFonts w:ascii="Times New Roman" w:hAnsi="Times New Roman" w:cs="Times New Roman"/>
          <w:b/>
          <w:bCs/>
          <w:sz w:val="24"/>
          <w:szCs w:val="24"/>
        </w:rPr>
        <w:t xml:space="preserve">Figura </w:t>
      </w:r>
      <w:r w:rsidRPr="00F35382">
        <w:rPr>
          <w:rFonts w:ascii="Times New Roman" w:hAnsi="Times New Roman" w:cs="Times New Roman"/>
          <w:b/>
          <w:bCs/>
          <w:sz w:val="24"/>
          <w:szCs w:val="24"/>
        </w:rPr>
        <w:fldChar w:fldCharType="begin"/>
      </w:r>
      <w:r w:rsidRPr="00F35382">
        <w:rPr>
          <w:rFonts w:ascii="Times New Roman" w:hAnsi="Times New Roman" w:cs="Times New Roman"/>
          <w:b/>
          <w:bCs/>
          <w:sz w:val="24"/>
          <w:szCs w:val="24"/>
        </w:rPr>
        <w:instrText xml:space="preserve"> SEQ Figura \* ARABIC </w:instrText>
      </w:r>
      <w:r w:rsidRPr="00F35382">
        <w:rPr>
          <w:rFonts w:ascii="Times New Roman" w:hAnsi="Times New Roman" w:cs="Times New Roman"/>
          <w:b/>
          <w:bCs/>
          <w:sz w:val="24"/>
          <w:szCs w:val="24"/>
        </w:rPr>
        <w:fldChar w:fldCharType="separate"/>
      </w:r>
      <w:r w:rsidR="00FA61E0" w:rsidRPr="00F35382">
        <w:rPr>
          <w:rFonts w:ascii="Times New Roman" w:hAnsi="Times New Roman" w:cs="Times New Roman"/>
          <w:b/>
          <w:bCs/>
          <w:noProof/>
          <w:sz w:val="24"/>
          <w:szCs w:val="24"/>
        </w:rPr>
        <w:t>1</w:t>
      </w:r>
      <w:r w:rsidRPr="00F35382">
        <w:rPr>
          <w:rFonts w:ascii="Times New Roman" w:hAnsi="Times New Roman" w:cs="Times New Roman"/>
          <w:b/>
          <w:bCs/>
          <w:sz w:val="24"/>
          <w:szCs w:val="24"/>
        </w:rPr>
        <w:fldChar w:fldCharType="end"/>
      </w:r>
      <w:r w:rsidRPr="00F35382">
        <w:rPr>
          <w:rFonts w:ascii="Times New Roman" w:hAnsi="Times New Roman" w:cs="Times New Roman"/>
          <w:b/>
          <w:bCs/>
          <w:sz w:val="24"/>
          <w:szCs w:val="24"/>
        </w:rPr>
        <w:t xml:space="preserve"> </w:t>
      </w:r>
      <w:r w:rsidR="00D112BF" w:rsidRPr="00F35382">
        <w:rPr>
          <w:rFonts w:ascii="Times New Roman" w:hAnsi="Times New Roman" w:cs="Times New Roman"/>
          <w:b/>
          <w:bCs/>
          <w:sz w:val="24"/>
          <w:szCs w:val="24"/>
        </w:rPr>
        <w:t xml:space="preserve"> </w:t>
      </w:r>
      <w:r w:rsidR="004E012C" w:rsidRPr="00F35382">
        <w:rPr>
          <w:rFonts w:ascii="Times New Roman" w:hAnsi="Times New Roman" w:cs="Times New Roman"/>
          <w:b/>
          <w:bCs/>
          <w:sz w:val="24"/>
          <w:szCs w:val="24"/>
        </w:rPr>
        <w:t>Eje microbiota-intestino-cerebro general, vías de comunicación, incluyendo neurotransmisores microbianos como parte de la señalización</w:t>
      </w:r>
      <w:r w:rsidR="004E012C" w:rsidRPr="00F35382">
        <w:rPr>
          <w:rFonts w:ascii="Times New Roman" w:hAnsi="Times New Roman" w:cs="Times New Roman"/>
          <w:b/>
          <w:sz w:val="24"/>
          <w:szCs w:val="24"/>
        </w:rPr>
        <w:t>.</w:t>
      </w:r>
      <w:bookmarkEnd w:id="43"/>
    </w:p>
    <w:p w14:paraId="5B6D3B6E" w14:textId="42EBD0D3" w:rsidR="00D112BF" w:rsidRPr="003013DE" w:rsidRDefault="00D112BF" w:rsidP="00D112B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noProof/>
          <w:sz w:val="24"/>
          <w:szCs w:val="24"/>
          <w14:ligatures w14:val="standardContextual"/>
        </w:rPr>
        <w:drawing>
          <wp:anchor distT="0" distB="0" distL="114300" distR="114300" simplePos="0" relativeHeight="251671552" behindDoc="0" locked="0" layoutInCell="1" allowOverlap="1" wp14:anchorId="6BB70591" wp14:editId="45CC49F4">
            <wp:simplePos x="0" y="0"/>
            <wp:positionH relativeFrom="column">
              <wp:posOffset>0</wp:posOffset>
            </wp:positionH>
            <wp:positionV relativeFrom="paragraph">
              <wp:posOffset>365760</wp:posOffset>
            </wp:positionV>
            <wp:extent cx="5612130" cy="4257040"/>
            <wp:effectExtent l="0" t="0" r="1270" b="0"/>
            <wp:wrapTopAndBottom/>
            <wp:docPr id="179918239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182392" name="Imagen 179918239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612130" cy="4257040"/>
                    </a:xfrm>
                    <a:prstGeom prst="rect">
                      <a:avLst/>
                    </a:prstGeom>
                  </pic:spPr>
                </pic:pic>
              </a:graphicData>
            </a:graphic>
          </wp:anchor>
        </w:drawing>
      </w:r>
    </w:p>
    <w:p w14:paraId="6B78E347" w14:textId="60C46E2A" w:rsidR="004E012C" w:rsidRPr="003013DE" w:rsidRDefault="004E012C" w:rsidP="00EC0F6D">
      <w:pPr>
        <w:spacing w:line="360" w:lineRule="auto"/>
        <w:jc w:val="center"/>
        <w:rPr>
          <w:rFonts w:ascii="Times New Roman" w:hAnsi="Times New Roman" w:cs="Times New Roman"/>
          <w:bCs/>
          <w:sz w:val="24"/>
          <w:szCs w:val="24"/>
        </w:rPr>
      </w:pPr>
      <w:r w:rsidRPr="003013DE">
        <w:rPr>
          <w:rFonts w:ascii="Times New Roman" w:hAnsi="Times New Roman" w:cs="Times New Roman"/>
          <w:bCs/>
          <w:sz w:val="24"/>
          <w:szCs w:val="24"/>
        </w:rPr>
        <w:t>Fuente: tomada de la referencia bibliográfica</w:t>
      </w:r>
      <w:r w:rsidR="00EC0F6D" w:rsidRPr="003013DE">
        <w:rPr>
          <w:rFonts w:ascii="Times New Roman" w:hAnsi="Times New Roman" w:cs="Times New Roman"/>
          <w:bCs/>
          <w:sz w:val="24"/>
          <w:szCs w:val="24"/>
          <w:vertAlign w:val="superscript"/>
        </w:rPr>
        <w:t>41-43</w:t>
      </w:r>
      <w:r w:rsidRPr="003013DE">
        <w:rPr>
          <w:rFonts w:ascii="Times New Roman" w:hAnsi="Times New Roman" w:cs="Times New Roman"/>
          <w:bCs/>
          <w:sz w:val="24"/>
          <w:szCs w:val="24"/>
        </w:rPr>
        <w:t>.</w:t>
      </w:r>
    </w:p>
    <w:p w14:paraId="159DEFE6" w14:textId="0F05C590" w:rsidR="00F44C9D" w:rsidRPr="003013DE" w:rsidRDefault="00E63F5D" w:rsidP="0008506B">
      <w:pPr>
        <w:pStyle w:val="Ttulo3"/>
        <w:rPr>
          <w:rFonts w:ascii="Times New Roman" w:hAnsi="Times New Roman" w:cs="Times New Roman"/>
          <w:b/>
          <w:color w:val="auto"/>
          <w:sz w:val="24"/>
          <w:szCs w:val="24"/>
        </w:rPr>
      </w:pPr>
      <w:bookmarkStart w:id="44" w:name="_Toc223177132"/>
      <w:r w:rsidRPr="003013DE">
        <w:rPr>
          <w:rFonts w:ascii="Times New Roman" w:hAnsi="Times New Roman" w:cs="Times New Roman"/>
          <w:b/>
          <w:color w:val="auto"/>
          <w:sz w:val="24"/>
          <w:szCs w:val="24"/>
        </w:rPr>
        <w:t>2.3.2 Sistema</w:t>
      </w:r>
      <w:r w:rsidR="00F44C9D" w:rsidRPr="003013DE">
        <w:rPr>
          <w:rFonts w:ascii="Times New Roman" w:hAnsi="Times New Roman" w:cs="Times New Roman"/>
          <w:b/>
          <w:color w:val="auto"/>
          <w:sz w:val="24"/>
          <w:szCs w:val="24"/>
        </w:rPr>
        <w:t xml:space="preserve"> nervioso entérico (SNE)</w:t>
      </w:r>
      <w:bookmarkEnd w:id="44"/>
    </w:p>
    <w:p w14:paraId="6350592C" w14:textId="7648DA89" w:rsidR="00F44C9D" w:rsidRPr="003013DE" w:rsidRDefault="00F44C9D" w:rsidP="001E097B">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sistema nervioso entérico es una red neuronal intrínseca del tracto gastrointestinal compuesta por millones de neuronas y células gliales, organizadas principalmente en los plexos mientérico y submucoso. Su complejidad estructural y funcional ha llevado a denominarlo el “segundo cerebro”, ya que es capaz de regular de forma autónoma múltiples funciones digestivas</w:t>
      </w:r>
      <w:r w:rsidR="00F71B88" w:rsidRPr="003013DE">
        <w:rPr>
          <w:rFonts w:ascii="Times New Roman" w:hAnsi="Times New Roman" w:cs="Times New Roman"/>
          <w:bCs/>
          <w:sz w:val="24"/>
          <w:szCs w:val="24"/>
          <w:vertAlign w:val="superscript"/>
        </w:rPr>
        <w:t>44</w:t>
      </w:r>
      <w:r w:rsidRPr="003013DE">
        <w:rPr>
          <w:rFonts w:ascii="Times New Roman" w:hAnsi="Times New Roman" w:cs="Times New Roman"/>
          <w:bCs/>
          <w:sz w:val="24"/>
          <w:szCs w:val="24"/>
        </w:rPr>
        <w:t>.</w:t>
      </w:r>
    </w:p>
    <w:p w14:paraId="0C481F37" w14:textId="3F5E4DE5" w:rsidR="00F44C9D" w:rsidRPr="003013DE" w:rsidRDefault="00F44C9D" w:rsidP="00FD3593">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lastRenderedPageBreak/>
        <w:t>El SNE controla procesos esenciales como la motilidad intestinal, la secreción de enzimas y electrolitos, la absorción de nutrientes y la regulación del flujo sanguíneo local. Además, mantiene una estrecha interacción con el sistema inmunológico intestinal, contribuyendo al reconocimiento de señales microbianas y a la modulación de respuestas inflamatorias locales</w:t>
      </w:r>
      <w:r w:rsidR="00F71B88" w:rsidRPr="003013DE">
        <w:rPr>
          <w:rFonts w:ascii="Times New Roman" w:hAnsi="Times New Roman" w:cs="Times New Roman"/>
          <w:bCs/>
          <w:sz w:val="24"/>
          <w:szCs w:val="24"/>
          <w:vertAlign w:val="superscript"/>
        </w:rPr>
        <w:t>44</w:t>
      </w:r>
      <w:r w:rsidRPr="003013DE">
        <w:rPr>
          <w:rFonts w:ascii="Times New Roman" w:hAnsi="Times New Roman" w:cs="Times New Roman"/>
          <w:bCs/>
          <w:sz w:val="24"/>
          <w:szCs w:val="24"/>
        </w:rPr>
        <w:t>.</w:t>
      </w:r>
    </w:p>
    <w:p w14:paraId="45E24A2F" w14:textId="2320A529" w:rsidR="00F44C9D" w:rsidRPr="003013DE" w:rsidRDefault="00F44C9D" w:rsidP="00F44C9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el contexto del eje intestino–cerebro, el SNE actúa como un intermediario clave entre la microbiota y el SNC. Las neuronas entéricas responden a metabolitos microbianos y mediadores inmunológicos, transmitiendo esta información hacia el cerebro a través de vías neurales, lo que permite una comunicación bidireccional eficiente entre ambos sistemas</w:t>
      </w:r>
      <w:r w:rsidR="00F71B88" w:rsidRPr="003013DE">
        <w:rPr>
          <w:rFonts w:ascii="Times New Roman" w:hAnsi="Times New Roman" w:cs="Times New Roman"/>
          <w:bCs/>
          <w:sz w:val="24"/>
          <w:szCs w:val="24"/>
          <w:vertAlign w:val="superscript"/>
        </w:rPr>
        <w:t>44</w:t>
      </w:r>
      <w:r w:rsidRPr="003013DE">
        <w:rPr>
          <w:rFonts w:ascii="Times New Roman" w:hAnsi="Times New Roman" w:cs="Times New Roman"/>
          <w:bCs/>
          <w:sz w:val="24"/>
          <w:szCs w:val="24"/>
        </w:rPr>
        <w:t>.</w:t>
      </w:r>
    </w:p>
    <w:p w14:paraId="0EAA3C31" w14:textId="1582333E" w:rsidR="00F44C9D" w:rsidRPr="003013DE" w:rsidRDefault="00E63F5D" w:rsidP="0008506B">
      <w:pPr>
        <w:pStyle w:val="Ttulo3"/>
        <w:rPr>
          <w:rFonts w:ascii="Times New Roman" w:hAnsi="Times New Roman" w:cs="Times New Roman"/>
          <w:b/>
          <w:color w:val="auto"/>
          <w:sz w:val="24"/>
          <w:szCs w:val="24"/>
        </w:rPr>
      </w:pPr>
      <w:bookmarkStart w:id="45" w:name="_Toc223177133"/>
      <w:r w:rsidRPr="003013DE">
        <w:rPr>
          <w:rFonts w:ascii="Times New Roman" w:hAnsi="Times New Roman" w:cs="Times New Roman"/>
          <w:b/>
          <w:color w:val="auto"/>
          <w:sz w:val="24"/>
          <w:szCs w:val="24"/>
        </w:rPr>
        <w:t xml:space="preserve">2.3.3 </w:t>
      </w:r>
      <w:r w:rsidR="00F44C9D" w:rsidRPr="003013DE">
        <w:rPr>
          <w:rFonts w:ascii="Times New Roman" w:hAnsi="Times New Roman" w:cs="Times New Roman"/>
          <w:b/>
          <w:color w:val="auto"/>
          <w:sz w:val="24"/>
          <w:szCs w:val="24"/>
        </w:rPr>
        <w:t>Sistema nervioso autónomo y nervio vago</w:t>
      </w:r>
      <w:bookmarkEnd w:id="45"/>
    </w:p>
    <w:p w14:paraId="62F079B4" w14:textId="7C05ABB5" w:rsidR="00F44C9D" w:rsidRPr="003013DE" w:rsidRDefault="00F44C9D" w:rsidP="001E097B">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sistema nervioso autónomo (SNA), a través de sus componentes simpático y parasimpático, desempeña un papel fundamental en la comunicación intestino–cerebro. Dentro de este sistema, el nervio vago representa la principal vía parasimpática y uno de los canales más importantes de señalización bidireccional</w:t>
      </w:r>
      <w:r w:rsidR="009665D5" w:rsidRPr="003013DE">
        <w:rPr>
          <w:rFonts w:ascii="Times New Roman" w:hAnsi="Times New Roman" w:cs="Times New Roman"/>
          <w:bCs/>
          <w:sz w:val="24"/>
          <w:szCs w:val="24"/>
          <w:vertAlign w:val="superscript"/>
        </w:rPr>
        <w:t>44,45</w:t>
      </w:r>
      <w:r w:rsidRPr="003013DE">
        <w:rPr>
          <w:rFonts w:ascii="Times New Roman" w:hAnsi="Times New Roman" w:cs="Times New Roman"/>
          <w:bCs/>
          <w:sz w:val="24"/>
          <w:szCs w:val="24"/>
        </w:rPr>
        <w:t>.</w:t>
      </w:r>
    </w:p>
    <w:p w14:paraId="617C0BAC" w14:textId="10D7BCC7" w:rsidR="00F44C9D" w:rsidRPr="003013DE" w:rsidRDefault="00F44C9D" w:rsidP="00650CC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Las fibras aferentes del nervio vago transmiten información sensorial desde el intestino hacia el SNC, incluyendo señales relacionadas con la distensión intestinal, la composición química del lumen y la presencia de metabolitos microbianos. Esta información es procesada en el tronco encefálico y otras regiones cerebrales, influyendo en respuestas emocionales, cognitivas y autonómicas</w:t>
      </w:r>
      <w:r w:rsidR="009665D5" w:rsidRPr="003013DE">
        <w:rPr>
          <w:rFonts w:ascii="Times New Roman" w:hAnsi="Times New Roman" w:cs="Times New Roman"/>
          <w:bCs/>
          <w:sz w:val="24"/>
          <w:szCs w:val="24"/>
          <w:vertAlign w:val="superscript"/>
        </w:rPr>
        <w:t>45</w:t>
      </w:r>
      <w:r w:rsidRPr="003013DE">
        <w:rPr>
          <w:rFonts w:ascii="Times New Roman" w:hAnsi="Times New Roman" w:cs="Times New Roman"/>
          <w:bCs/>
          <w:sz w:val="24"/>
          <w:szCs w:val="24"/>
        </w:rPr>
        <w:t>.</w:t>
      </w:r>
    </w:p>
    <w:p w14:paraId="01D170DD" w14:textId="0ACBC3CA" w:rsidR="00650CCF" w:rsidRPr="003013DE" w:rsidRDefault="00F44C9D" w:rsidP="00650CC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Por su parte, las fibras eferentes vagales modulan la motilidad intestinal, la secreción gástrica y la respuesta inflamatoria, contribuyendo al mantenimiento de la homeostasis gastrointestinal. La activación vagal también se ha asociado con efectos antiinflamatorios sistémicos, lo que subraya su relevancia en la integración neuroinmunológica del eje intestino–cerebro</w:t>
      </w:r>
      <w:r w:rsidR="009665D5" w:rsidRPr="003013DE">
        <w:rPr>
          <w:rFonts w:ascii="Times New Roman" w:hAnsi="Times New Roman" w:cs="Times New Roman"/>
          <w:bCs/>
          <w:sz w:val="24"/>
          <w:szCs w:val="24"/>
          <w:vertAlign w:val="superscript"/>
        </w:rPr>
        <w:t>45</w:t>
      </w:r>
      <w:r w:rsidRPr="003013DE">
        <w:rPr>
          <w:rFonts w:ascii="Times New Roman" w:hAnsi="Times New Roman" w:cs="Times New Roman"/>
          <w:bCs/>
          <w:sz w:val="24"/>
          <w:szCs w:val="24"/>
        </w:rPr>
        <w:t>.</w:t>
      </w:r>
    </w:p>
    <w:p w14:paraId="6FCA2E03" w14:textId="61E870BF" w:rsidR="00F44C9D" w:rsidRPr="003013DE" w:rsidRDefault="00650CCF" w:rsidP="0008506B">
      <w:pPr>
        <w:pStyle w:val="Ttulo2"/>
        <w:rPr>
          <w:rFonts w:ascii="Times New Roman" w:hAnsi="Times New Roman" w:cs="Times New Roman"/>
          <w:b/>
          <w:color w:val="auto"/>
          <w:sz w:val="24"/>
          <w:szCs w:val="24"/>
        </w:rPr>
      </w:pPr>
      <w:bookmarkStart w:id="46" w:name="_Toc223177134"/>
      <w:r w:rsidRPr="003013DE">
        <w:rPr>
          <w:rFonts w:ascii="Times New Roman" w:hAnsi="Times New Roman" w:cs="Times New Roman"/>
          <w:b/>
          <w:color w:val="auto"/>
          <w:sz w:val="24"/>
          <w:szCs w:val="24"/>
        </w:rPr>
        <w:t xml:space="preserve">2.3.4 </w:t>
      </w:r>
      <w:r w:rsidR="00F44C9D" w:rsidRPr="003013DE">
        <w:rPr>
          <w:rFonts w:ascii="Times New Roman" w:hAnsi="Times New Roman" w:cs="Times New Roman"/>
          <w:b/>
          <w:color w:val="auto"/>
          <w:sz w:val="24"/>
          <w:szCs w:val="24"/>
        </w:rPr>
        <w:t>Sistema inmunológico como mediador del eje intestino–cerebro</w:t>
      </w:r>
      <w:bookmarkEnd w:id="46"/>
    </w:p>
    <w:p w14:paraId="4A50AD87" w14:textId="2E4FE554" w:rsidR="00F44C9D" w:rsidRPr="003013DE" w:rsidRDefault="00F44C9D" w:rsidP="001E097B">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El sistema inmunológico constituye un componente esencial del eje intestino–cerebro, actuando como un puente funcional entre la microbiota intestinal y el SNC. El intestino alberga una gran proporción del tejido linfoide asociado a mucosas (GALT), donde </w:t>
      </w:r>
      <w:r w:rsidRPr="003013DE">
        <w:rPr>
          <w:rFonts w:ascii="Times New Roman" w:hAnsi="Times New Roman" w:cs="Times New Roman"/>
          <w:bCs/>
          <w:sz w:val="24"/>
          <w:szCs w:val="24"/>
        </w:rPr>
        <w:lastRenderedPageBreak/>
        <w:t>se produce una interacción constante entre células inmunitarias y microorganismos comensales</w:t>
      </w:r>
      <w:r w:rsidR="004B45EE" w:rsidRPr="003013DE">
        <w:rPr>
          <w:rFonts w:ascii="Times New Roman" w:hAnsi="Times New Roman" w:cs="Times New Roman"/>
          <w:bCs/>
          <w:sz w:val="24"/>
          <w:szCs w:val="24"/>
          <w:vertAlign w:val="superscript"/>
        </w:rPr>
        <w:t>42-45</w:t>
      </w:r>
      <w:r w:rsidRPr="003013DE">
        <w:rPr>
          <w:rFonts w:ascii="Times New Roman" w:hAnsi="Times New Roman" w:cs="Times New Roman"/>
          <w:bCs/>
          <w:sz w:val="24"/>
          <w:szCs w:val="24"/>
        </w:rPr>
        <w:t>.</w:t>
      </w:r>
    </w:p>
    <w:p w14:paraId="5A13B618" w14:textId="6E64EEBE" w:rsidR="00F44C9D" w:rsidRPr="003013DE" w:rsidRDefault="00F44C9D" w:rsidP="00650CC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microbiota intestinal influye en la maduración, diferenciación y activación de células inmunes, regulando la producción de citocinas y otros mediadores inflamatorios. Estas moléculas pueden ejercer efectos locales sobre el epitelio intestinal o alcanzar la circulación sistémica, afectando indirectamente la función cerebral</w:t>
      </w:r>
      <w:r w:rsidR="004B45EE" w:rsidRPr="003013DE">
        <w:rPr>
          <w:rFonts w:ascii="Times New Roman" w:hAnsi="Times New Roman" w:cs="Times New Roman"/>
          <w:bCs/>
          <w:sz w:val="24"/>
          <w:szCs w:val="24"/>
          <w:vertAlign w:val="superscript"/>
        </w:rPr>
        <w:t>42-45</w:t>
      </w:r>
      <w:r w:rsidRPr="003013DE">
        <w:rPr>
          <w:rFonts w:ascii="Times New Roman" w:hAnsi="Times New Roman" w:cs="Times New Roman"/>
          <w:bCs/>
          <w:sz w:val="24"/>
          <w:szCs w:val="24"/>
        </w:rPr>
        <w:t>.</w:t>
      </w:r>
    </w:p>
    <w:p w14:paraId="413D9295" w14:textId="2DF68030" w:rsidR="00F44C9D" w:rsidRPr="003013DE" w:rsidRDefault="00F44C9D" w:rsidP="00F44C9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Cuando se produce disbiosis intestinal, aumenta la permeabilidad de la barrera intestinal y la translocación de componentes microbianos, favoreciendo un estado de inflamación sistémica de bajo grado. Esta inflamación puede impactar negativamente sobre el SNC, promoviendo procesos de neuroinflamación y alteraciones conductuales, lo que resalta el papel crítico del sistema inmunológico en la comunicación intestino–cerebro</w:t>
      </w:r>
      <w:r w:rsidR="004B45EE" w:rsidRPr="003013DE">
        <w:rPr>
          <w:rFonts w:ascii="Times New Roman" w:hAnsi="Times New Roman" w:cs="Times New Roman"/>
          <w:bCs/>
          <w:sz w:val="24"/>
          <w:szCs w:val="24"/>
          <w:vertAlign w:val="superscript"/>
        </w:rPr>
        <w:t>46</w:t>
      </w:r>
      <w:r w:rsidRPr="003013DE">
        <w:rPr>
          <w:rFonts w:ascii="Times New Roman" w:hAnsi="Times New Roman" w:cs="Times New Roman"/>
          <w:bCs/>
          <w:sz w:val="24"/>
          <w:szCs w:val="24"/>
        </w:rPr>
        <w:t>.</w:t>
      </w:r>
    </w:p>
    <w:p w14:paraId="2C7EDBDE" w14:textId="3F4E7968" w:rsidR="00F44C9D" w:rsidRPr="003013DE" w:rsidRDefault="00650CCF" w:rsidP="0008506B">
      <w:pPr>
        <w:pStyle w:val="Ttulo2"/>
        <w:rPr>
          <w:rFonts w:ascii="Times New Roman" w:hAnsi="Times New Roman" w:cs="Times New Roman"/>
          <w:b/>
          <w:color w:val="auto"/>
          <w:sz w:val="24"/>
          <w:szCs w:val="24"/>
        </w:rPr>
      </w:pPr>
      <w:bookmarkStart w:id="47" w:name="_Toc223177135"/>
      <w:r w:rsidRPr="003013DE">
        <w:rPr>
          <w:rFonts w:ascii="Times New Roman" w:hAnsi="Times New Roman" w:cs="Times New Roman"/>
          <w:b/>
          <w:color w:val="auto"/>
          <w:sz w:val="24"/>
          <w:szCs w:val="24"/>
        </w:rPr>
        <w:t xml:space="preserve">2.3.5 </w:t>
      </w:r>
      <w:r w:rsidR="00F44C9D" w:rsidRPr="003013DE">
        <w:rPr>
          <w:rFonts w:ascii="Times New Roman" w:hAnsi="Times New Roman" w:cs="Times New Roman"/>
          <w:b/>
          <w:color w:val="auto"/>
          <w:sz w:val="24"/>
          <w:szCs w:val="24"/>
        </w:rPr>
        <w:t>Rol de la microbiota intestinal en la comunicación bidireccional</w:t>
      </w:r>
      <w:bookmarkEnd w:id="47"/>
    </w:p>
    <w:p w14:paraId="4CC0670F" w14:textId="3C5814A5" w:rsidR="00F44C9D" w:rsidRPr="003013DE" w:rsidRDefault="000B7452" w:rsidP="000B7452">
      <w:pPr>
        <w:spacing w:before="240" w:line="360" w:lineRule="auto"/>
        <w:ind w:firstLine="708"/>
        <w:jc w:val="both"/>
        <w:rPr>
          <w:rFonts w:ascii="Times New Roman" w:hAnsi="Times New Roman" w:cs="Times New Roman"/>
          <w:bCs/>
          <w:sz w:val="24"/>
          <w:szCs w:val="24"/>
        </w:rPr>
      </w:pPr>
      <w:r>
        <w:rPr>
          <w:rFonts w:ascii="Times New Roman" w:hAnsi="Times New Roman" w:cs="Times New Roman"/>
          <w:bCs/>
          <w:sz w:val="24"/>
          <w:szCs w:val="24"/>
        </w:rPr>
        <w:t xml:space="preserve">La </w:t>
      </w:r>
      <w:r w:rsidR="009E50D9" w:rsidRPr="003013DE">
        <w:rPr>
          <w:rFonts w:ascii="Times New Roman" w:hAnsi="Times New Roman" w:cs="Times New Roman"/>
          <w:bCs/>
          <w:sz w:val="24"/>
          <w:szCs w:val="24"/>
        </w:rPr>
        <w:t>microbiota intestinal</w:t>
      </w:r>
      <w:r w:rsidR="00F44C9D" w:rsidRPr="003013DE">
        <w:rPr>
          <w:rFonts w:ascii="Times New Roman" w:hAnsi="Times New Roman" w:cs="Times New Roman"/>
          <w:bCs/>
          <w:sz w:val="24"/>
          <w:szCs w:val="24"/>
        </w:rPr>
        <w:t xml:space="preserve"> actúa como un modulador activo del eje intestino–cerebro mediante la producción de una amplia variedad de metabolitos bioactivos. Entre estos se incluyen los ácidos grasos de cadena corta, neurotransmisores microbianos y metabolitos derivados del triptófano, los cuales influyen tanto en el sistema nervioso entérico como en el SNC</w:t>
      </w:r>
      <w:r w:rsidR="00B949D2" w:rsidRPr="003013DE">
        <w:rPr>
          <w:rFonts w:ascii="Times New Roman" w:hAnsi="Times New Roman" w:cs="Times New Roman"/>
          <w:bCs/>
          <w:sz w:val="24"/>
          <w:szCs w:val="24"/>
          <w:vertAlign w:val="superscript"/>
        </w:rPr>
        <w:t>46</w:t>
      </w:r>
      <w:r w:rsidR="00F44C9D" w:rsidRPr="003013DE">
        <w:rPr>
          <w:rFonts w:ascii="Times New Roman" w:hAnsi="Times New Roman" w:cs="Times New Roman"/>
          <w:bCs/>
          <w:sz w:val="24"/>
          <w:szCs w:val="24"/>
        </w:rPr>
        <w:t>.</w:t>
      </w:r>
    </w:p>
    <w:p w14:paraId="57966356" w14:textId="0AF3C4DC" w:rsidR="00F44C9D" w:rsidRPr="003013DE" w:rsidRDefault="00F44C9D" w:rsidP="00650CC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Diversos microorganismos intestinales son capaces de sintetizar o modular neurotransmisores como serotonina, GABA, dopamina y noradrenalina. Estas sustancias pueden actuar localmente sobre el SNE o activar vías neurales y endocrinas que afectan la función cerebral, el estado de ánimo y la conducta</w:t>
      </w:r>
      <w:r w:rsidR="00B949D2" w:rsidRPr="003013DE">
        <w:rPr>
          <w:rFonts w:ascii="Times New Roman" w:hAnsi="Times New Roman" w:cs="Times New Roman"/>
          <w:bCs/>
          <w:sz w:val="24"/>
          <w:szCs w:val="24"/>
          <w:vertAlign w:val="superscript"/>
        </w:rPr>
        <w:t>46</w:t>
      </w:r>
      <w:r w:rsidRPr="003013DE">
        <w:rPr>
          <w:rFonts w:ascii="Times New Roman" w:hAnsi="Times New Roman" w:cs="Times New Roman"/>
          <w:bCs/>
          <w:sz w:val="24"/>
          <w:szCs w:val="24"/>
        </w:rPr>
        <w:t>.</w:t>
      </w:r>
    </w:p>
    <w:p w14:paraId="5BC86FE4" w14:textId="0F423CD3" w:rsidR="00516400" w:rsidRPr="003013DE" w:rsidRDefault="00F44C9D" w:rsidP="0051640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Además, los metabolitos microbianos influyen en la integridad de la barrera intestinal y en la permeabilidad de la barrera hematoencefálica, modulando la activación microglial y la respuesta neuroinflamatoria. De esta manera, la microbiota no solo responde a señales del SNC, sino que participa activamente en la regulación de la homeostasis neurológica</w:t>
      </w:r>
      <w:r w:rsidR="00B949D2" w:rsidRPr="003013DE">
        <w:rPr>
          <w:rFonts w:ascii="Times New Roman" w:hAnsi="Times New Roman" w:cs="Times New Roman"/>
          <w:bCs/>
          <w:sz w:val="24"/>
          <w:szCs w:val="24"/>
          <w:vertAlign w:val="superscript"/>
        </w:rPr>
        <w:t>46</w:t>
      </w:r>
      <w:r w:rsidRPr="003013DE">
        <w:rPr>
          <w:rFonts w:ascii="Times New Roman" w:hAnsi="Times New Roman" w:cs="Times New Roman"/>
          <w:bCs/>
          <w:sz w:val="24"/>
          <w:szCs w:val="24"/>
        </w:rPr>
        <w:t>.</w:t>
      </w:r>
    </w:p>
    <w:p w14:paraId="51D7756D" w14:textId="3802A321" w:rsidR="00F44C9D" w:rsidRPr="003013DE" w:rsidRDefault="00516400" w:rsidP="0008506B">
      <w:pPr>
        <w:pStyle w:val="Ttulo3"/>
        <w:rPr>
          <w:rFonts w:ascii="Times New Roman" w:hAnsi="Times New Roman" w:cs="Times New Roman"/>
          <w:b/>
          <w:color w:val="auto"/>
          <w:sz w:val="24"/>
          <w:szCs w:val="24"/>
        </w:rPr>
      </w:pPr>
      <w:bookmarkStart w:id="48" w:name="_Toc223177136"/>
      <w:r w:rsidRPr="003013DE">
        <w:rPr>
          <w:rFonts w:ascii="Times New Roman" w:hAnsi="Times New Roman" w:cs="Times New Roman"/>
          <w:b/>
          <w:color w:val="auto"/>
          <w:sz w:val="24"/>
          <w:szCs w:val="24"/>
        </w:rPr>
        <w:t xml:space="preserve">2.3.6 </w:t>
      </w:r>
      <w:r w:rsidR="00F44C9D" w:rsidRPr="003013DE">
        <w:rPr>
          <w:rFonts w:ascii="Times New Roman" w:hAnsi="Times New Roman" w:cs="Times New Roman"/>
          <w:b/>
          <w:color w:val="auto"/>
          <w:sz w:val="24"/>
          <w:szCs w:val="24"/>
        </w:rPr>
        <w:t>Vías endocrinas y eje hipotálamo–hipófisis–adrenal</w:t>
      </w:r>
      <w:bookmarkEnd w:id="48"/>
    </w:p>
    <w:p w14:paraId="69DE579B" w14:textId="4F36AA90" w:rsidR="00F44C9D" w:rsidRPr="003013DE" w:rsidRDefault="00F44C9D"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El eje intestino–cerebro también incluye una dimensión endocrina relevante, particularmente a través del eje hipotálamo–hipófisis–adrenal (HHA). Este sistema regula la </w:t>
      </w:r>
      <w:r w:rsidRPr="003013DE">
        <w:rPr>
          <w:rFonts w:ascii="Times New Roman" w:hAnsi="Times New Roman" w:cs="Times New Roman"/>
          <w:bCs/>
          <w:sz w:val="24"/>
          <w:szCs w:val="24"/>
        </w:rPr>
        <w:lastRenderedPageBreak/>
        <w:t>respuesta al estrés mediante la liberación de glucocorticoides, los cuales influyen sobre la función intestinal y la composición del microbiota</w:t>
      </w:r>
      <w:r w:rsidR="00C56078"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6CBB66A3" w14:textId="5E46A482" w:rsidR="00F44C9D" w:rsidRPr="003013DE" w:rsidRDefault="00F44C9D" w:rsidP="0051640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microbiota intestinal modula la activación del eje HHA, afectando la magnitud y duración de la respuesta al estrés. Estudios experimentales han demostrado que alteraciones del microbiota pueden intensificar la respuesta al estrés, mientras que una microbiota equilibrada contribuye a su regulación adecuada.</w:t>
      </w:r>
      <w:r w:rsidR="00516400"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A su vez, los glucocorticoides liberados durante el estrés pueden alterar la permeabilidad intestinal y modificar la composición microbiana, estableciendo un circuito de retroalimentación entre el sistema endocrino, el intestino y el cerebro</w:t>
      </w:r>
      <w:r w:rsidR="00C56078"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0D106471" w14:textId="0D97505A" w:rsidR="00F44C9D" w:rsidRPr="003013DE" w:rsidRDefault="00516400" w:rsidP="0008506B">
      <w:pPr>
        <w:pStyle w:val="Ttulo3"/>
        <w:rPr>
          <w:rFonts w:ascii="Times New Roman" w:hAnsi="Times New Roman" w:cs="Times New Roman"/>
          <w:b/>
          <w:color w:val="auto"/>
          <w:sz w:val="24"/>
          <w:szCs w:val="24"/>
        </w:rPr>
      </w:pPr>
      <w:bookmarkStart w:id="49" w:name="_Toc223177137"/>
      <w:r w:rsidRPr="003013DE">
        <w:rPr>
          <w:rFonts w:ascii="Times New Roman" w:hAnsi="Times New Roman" w:cs="Times New Roman"/>
          <w:b/>
          <w:color w:val="auto"/>
          <w:sz w:val="24"/>
          <w:szCs w:val="24"/>
        </w:rPr>
        <w:t xml:space="preserve">2.3.7 </w:t>
      </w:r>
      <w:r w:rsidR="00F44C9D" w:rsidRPr="003013DE">
        <w:rPr>
          <w:rFonts w:ascii="Times New Roman" w:hAnsi="Times New Roman" w:cs="Times New Roman"/>
          <w:b/>
          <w:color w:val="auto"/>
          <w:sz w:val="24"/>
          <w:szCs w:val="24"/>
        </w:rPr>
        <w:t>Implicaciones fisiológicas y patológicas del eje intestino–cerebro</w:t>
      </w:r>
      <w:bookmarkEnd w:id="49"/>
    </w:p>
    <w:p w14:paraId="53080630" w14:textId="5EA16DDE" w:rsidR="00F44C9D" w:rsidRPr="003013DE" w:rsidRDefault="00F44C9D"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condiciones fisiológicas, el eje intestino–cerebro permite la integración eficiente de señales neurológicas, inmunológicas y metabólicas, contribuyendo al mantenimiento del equilibrio interno del organismo. Esta comunicación bidireccional es esencial para la regulación del estado de ánimo, la cognición, el comportamiento y la función digestiva</w:t>
      </w:r>
      <w:r w:rsidR="003A092F"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459D4502" w14:textId="0F73B9D4" w:rsidR="00382580" w:rsidRPr="003013DE" w:rsidRDefault="00F44C9D" w:rsidP="001B10D7">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Sin embargo, alteraciones en cualquiera de los componentes del eje pueden desencadenar disfunciones sistémicas. La evidencia científica ha vinculado la disrupción del eje intestino–cerebro con trastornos gastrointestinales funcionales, como el síndrome de intestino irritable, así como con enfermedades psiquiátricas y neurodegenerativas.</w:t>
      </w:r>
      <w:r w:rsidR="001B10D7"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Por ello, el eje intestino–cerebro se reconoce actualmente como un marco conceptual clave para comprender la interacción entre el sistema digestivo y el sistema nervioso, y como un objetivo potencial para intervenciones terapéuticas basadas en la modulación del microbiota</w:t>
      </w:r>
      <w:r w:rsidR="003A092F"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3B8466DE" w14:textId="77777777" w:rsidR="00175F56" w:rsidRPr="003013DE" w:rsidRDefault="00852FDA" w:rsidP="0008506B">
      <w:pPr>
        <w:pStyle w:val="Ttulo2"/>
        <w:rPr>
          <w:rFonts w:ascii="Times New Roman" w:hAnsi="Times New Roman" w:cs="Times New Roman"/>
          <w:b/>
          <w:color w:val="auto"/>
          <w:sz w:val="24"/>
          <w:szCs w:val="24"/>
        </w:rPr>
      </w:pPr>
      <w:bookmarkStart w:id="50" w:name="_Toc223177138"/>
      <w:r w:rsidRPr="003013DE">
        <w:rPr>
          <w:rFonts w:ascii="Times New Roman" w:hAnsi="Times New Roman" w:cs="Times New Roman"/>
          <w:b/>
          <w:color w:val="auto"/>
          <w:sz w:val="24"/>
          <w:szCs w:val="24"/>
        </w:rPr>
        <w:t>2.4. Mecanismos neurobiológicos de interacción entre microbiota y cerebro</w:t>
      </w:r>
      <w:bookmarkEnd w:id="50"/>
    </w:p>
    <w:p w14:paraId="45C6636F" w14:textId="3065EE3B" w:rsidR="00175F56" w:rsidRPr="003013DE" w:rsidRDefault="00175F56"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interacción entre la microbiota intestinal y el cerebro se sustenta en una red compleja de mecanismos neurobiológicos, mediada por moléculas bioactivas capaces de influir tanto en el sistema nervioso entérico como en el sistema nervioso central. Estas moléculas actúan como mensajeros químicos que permiten la comunicación bidireccional a través del eje intestino–cerebro, integrando señales metabólicas, inmunológicas y neuroendocrinas</w:t>
      </w:r>
      <w:r w:rsidR="00171C40" w:rsidRPr="003013DE">
        <w:rPr>
          <w:rFonts w:ascii="Times New Roman" w:hAnsi="Times New Roman" w:cs="Times New Roman"/>
          <w:bCs/>
          <w:sz w:val="24"/>
          <w:szCs w:val="24"/>
          <w:vertAlign w:val="superscript"/>
        </w:rPr>
        <w:t>47</w:t>
      </w:r>
      <w:r w:rsidRPr="003013DE">
        <w:rPr>
          <w:rFonts w:ascii="Times New Roman" w:hAnsi="Times New Roman" w:cs="Times New Roman"/>
          <w:bCs/>
          <w:sz w:val="24"/>
          <w:szCs w:val="24"/>
        </w:rPr>
        <w:t>.</w:t>
      </w:r>
    </w:p>
    <w:p w14:paraId="31D8D351" w14:textId="3E0DAFB9" w:rsidR="00175F56" w:rsidRPr="003013DE" w:rsidRDefault="00175F56" w:rsidP="00171C4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lastRenderedPageBreak/>
        <w:t>Entre los principales mediadores moleculares implicados destacan los neurotransmisores, los ácidos grasos de cadena corta (AGCC), las citocinas inmunológicas y las hormonas del estrés, cada uno de los cuales cumple funciones específicas pero interrelacionadas. La acción conjunta de estos mediadores influye en procesos como la neuroplasticidad, la respuesta al estrés, la regulación emocional, la cognición y la inflamación neuroinmune.</w:t>
      </w:r>
      <w:r w:rsidR="00171C40"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La alteración de estos mecanismos, generalmente asociada a estados de disbiosis intestinal, se ha vinculado con múltiples trastornos neuropsiquiátricos y neurodegenerativos, lo que resalta la importancia de comprender en profundidad los fundamentos neurobiológicos de esta interacción</w:t>
      </w:r>
      <w:r w:rsidR="00775872" w:rsidRPr="003013DE">
        <w:rPr>
          <w:rFonts w:ascii="Times New Roman" w:hAnsi="Times New Roman" w:cs="Times New Roman"/>
          <w:bCs/>
          <w:sz w:val="24"/>
          <w:szCs w:val="24"/>
          <w:vertAlign w:val="superscript"/>
        </w:rPr>
        <w:t>47</w:t>
      </w:r>
      <w:r w:rsidRPr="003013DE">
        <w:rPr>
          <w:rFonts w:ascii="Times New Roman" w:hAnsi="Times New Roman" w:cs="Times New Roman"/>
          <w:bCs/>
          <w:sz w:val="24"/>
          <w:szCs w:val="24"/>
        </w:rPr>
        <w:t>.</w:t>
      </w:r>
    </w:p>
    <w:p w14:paraId="459E6BFD" w14:textId="3E41A6B0" w:rsidR="00175F56" w:rsidRPr="003013DE" w:rsidRDefault="00CB0F10" w:rsidP="0008506B">
      <w:pPr>
        <w:pStyle w:val="Ttulo3"/>
        <w:rPr>
          <w:rFonts w:ascii="Times New Roman" w:hAnsi="Times New Roman" w:cs="Times New Roman"/>
          <w:b/>
          <w:color w:val="auto"/>
          <w:sz w:val="24"/>
          <w:szCs w:val="24"/>
        </w:rPr>
      </w:pPr>
      <w:bookmarkStart w:id="51" w:name="_Toc223177139"/>
      <w:r w:rsidRPr="003013DE">
        <w:rPr>
          <w:rFonts w:ascii="Times New Roman" w:hAnsi="Times New Roman" w:cs="Times New Roman"/>
          <w:b/>
          <w:color w:val="auto"/>
          <w:sz w:val="24"/>
          <w:szCs w:val="24"/>
        </w:rPr>
        <w:t xml:space="preserve">2.4.1 </w:t>
      </w:r>
      <w:r w:rsidR="00175F56" w:rsidRPr="003013DE">
        <w:rPr>
          <w:rFonts w:ascii="Times New Roman" w:hAnsi="Times New Roman" w:cs="Times New Roman"/>
          <w:b/>
          <w:color w:val="auto"/>
          <w:sz w:val="24"/>
          <w:szCs w:val="24"/>
        </w:rPr>
        <w:t>Neurotransmisores y neuromoduladores de origen microbiano</w:t>
      </w:r>
      <w:bookmarkEnd w:id="51"/>
    </w:p>
    <w:p w14:paraId="76163223" w14:textId="4E4E8A52" w:rsidR="00175F56" w:rsidRPr="003013DE" w:rsidRDefault="00175F56"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microbiota intestinal participa activamente en la síntesis, modulación y disponibilidad de neurotransmisores, desempeñando un papel clave en la comunicación intestino–cerebro. Diversos géneros bacterianos, como Lactobacillus, Bifidobacterium, Escherichia y Enterococcus, poseen la capacidad de producir neurotransmisores o sus precursores, incluyendo serotonina, ácido gamma-aminobutírico (GABA), dopamina y noradrenalina</w:t>
      </w:r>
      <w:r w:rsidR="00775872" w:rsidRPr="003013DE">
        <w:rPr>
          <w:rFonts w:ascii="Times New Roman" w:hAnsi="Times New Roman" w:cs="Times New Roman"/>
          <w:bCs/>
          <w:sz w:val="24"/>
          <w:szCs w:val="24"/>
          <w:vertAlign w:val="superscript"/>
        </w:rPr>
        <w:t>47</w:t>
      </w:r>
      <w:r w:rsidRPr="003013DE">
        <w:rPr>
          <w:rFonts w:ascii="Times New Roman" w:hAnsi="Times New Roman" w:cs="Times New Roman"/>
          <w:bCs/>
          <w:sz w:val="24"/>
          <w:szCs w:val="24"/>
        </w:rPr>
        <w:t>.</w:t>
      </w:r>
    </w:p>
    <w:p w14:paraId="15EEAE0A" w14:textId="1FAE2477" w:rsidR="00775872" w:rsidRPr="003013DE" w:rsidRDefault="00175F56" w:rsidP="0077587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serotonina es uno de los neurotransmisores más relevantes en este contexto, ya que aproximadamente el 90–95 % de la serotonina corporal se produce en el intestino, principalmente por células enteroendocrinas cuya actividad es modulada por la microbiota. La serotonina intestinal regula la motilidad gastrointestinal, la secreción y la percepción visceral, y además influye indirectamente en funciones centrales como el estado de ánimo y la respuesta al estrés</w:t>
      </w:r>
      <w:r w:rsidR="00775872" w:rsidRPr="003013DE">
        <w:rPr>
          <w:rFonts w:ascii="Times New Roman" w:hAnsi="Times New Roman" w:cs="Times New Roman"/>
          <w:bCs/>
          <w:sz w:val="24"/>
          <w:szCs w:val="24"/>
          <w:vertAlign w:val="superscript"/>
        </w:rPr>
        <w:t>47</w:t>
      </w:r>
      <w:r w:rsidRPr="003013DE">
        <w:rPr>
          <w:rFonts w:ascii="Times New Roman" w:hAnsi="Times New Roman" w:cs="Times New Roman"/>
          <w:bCs/>
          <w:sz w:val="24"/>
          <w:szCs w:val="24"/>
        </w:rPr>
        <w:t>.</w:t>
      </w:r>
      <w:r w:rsidR="00775872" w:rsidRPr="003013DE">
        <w:rPr>
          <w:rFonts w:ascii="Times New Roman" w:hAnsi="Times New Roman" w:cs="Times New Roman"/>
          <w:bCs/>
          <w:sz w:val="24"/>
          <w:szCs w:val="24"/>
        </w:rPr>
        <w:t xml:space="preserve"> </w:t>
      </w:r>
    </w:p>
    <w:p w14:paraId="10D09518" w14:textId="4E1BCB1E" w:rsidR="00175F56" w:rsidRPr="003013DE" w:rsidRDefault="00175F56" w:rsidP="0077587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Aunque muchos neurotransmisores microbianos no atraviesan directamente la barrera hematoencefálica, ejercen sus efectos a través de vías indirectas, como la activación del nervio vago, la modulación del sistema inmunológico o la regulación del eje hipotálamo–hipófisis–adrenal. De esta forma, la microbiota puede influir en la actividad cerebral y el comportamiento sin necesidad de una acción directa sobre el SNC</w:t>
      </w:r>
      <w:r w:rsidR="00775872" w:rsidRPr="003013DE">
        <w:rPr>
          <w:rFonts w:ascii="Times New Roman" w:hAnsi="Times New Roman" w:cs="Times New Roman"/>
          <w:bCs/>
          <w:sz w:val="24"/>
          <w:szCs w:val="24"/>
          <w:vertAlign w:val="superscript"/>
        </w:rPr>
        <w:t>48</w:t>
      </w:r>
      <w:r w:rsidRPr="003013DE">
        <w:rPr>
          <w:rFonts w:ascii="Times New Roman" w:hAnsi="Times New Roman" w:cs="Times New Roman"/>
          <w:bCs/>
          <w:sz w:val="24"/>
          <w:szCs w:val="24"/>
        </w:rPr>
        <w:t>.</w:t>
      </w:r>
    </w:p>
    <w:p w14:paraId="18B3B826" w14:textId="21011552" w:rsidR="00175F56" w:rsidRPr="003013DE" w:rsidRDefault="00A0642F" w:rsidP="0008506B">
      <w:pPr>
        <w:pStyle w:val="Ttulo3"/>
        <w:rPr>
          <w:rFonts w:ascii="Times New Roman" w:hAnsi="Times New Roman" w:cs="Times New Roman"/>
          <w:b/>
          <w:color w:val="auto"/>
          <w:sz w:val="24"/>
          <w:szCs w:val="24"/>
        </w:rPr>
      </w:pPr>
      <w:bookmarkStart w:id="52" w:name="_Toc223177140"/>
      <w:r w:rsidRPr="003013DE">
        <w:rPr>
          <w:rFonts w:ascii="Times New Roman" w:hAnsi="Times New Roman" w:cs="Times New Roman"/>
          <w:b/>
          <w:color w:val="auto"/>
          <w:sz w:val="24"/>
          <w:szCs w:val="24"/>
        </w:rPr>
        <w:lastRenderedPageBreak/>
        <w:t xml:space="preserve">2.4.2 </w:t>
      </w:r>
      <w:r w:rsidR="00175F56" w:rsidRPr="003013DE">
        <w:rPr>
          <w:rFonts w:ascii="Times New Roman" w:hAnsi="Times New Roman" w:cs="Times New Roman"/>
          <w:b/>
          <w:color w:val="auto"/>
          <w:sz w:val="24"/>
          <w:szCs w:val="24"/>
        </w:rPr>
        <w:t>Ácidos grasos de cadena corta (AGCC)</w:t>
      </w:r>
      <w:bookmarkEnd w:id="52"/>
    </w:p>
    <w:p w14:paraId="0B49DBB5" w14:textId="26F5EF6F" w:rsidR="00175F56" w:rsidRPr="003013DE" w:rsidRDefault="00175F56"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ácidos grasos de cadena corta, principalmente acetato, propionato y butirato, son metabolitos producidos por la fermentación bacteriana de carbohidratos no digeribles, como la fibra dietética. Estos compuestos representan uno de los principales mecanismos mediante los cuales la microbiota ejerce efectos sistémicos, incluyendo acciones sobre el sistema nervioso</w:t>
      </w:r>
      <w:r w:rsidR="00BA1E46" w:rsidRPr="003013DE">
        <w:rPr>
          <w:rFonts w:ascii="Times New Roman" w:hAnsi="Times New Roman" w:cs="Times New Roman"/>
          <w:bCs/>
          <w:sz w:val="24"/>
          <w:szCs w:val="24"/>
          <w:vertAlign w:val="superscript"/>
        </w:rPr>
        <w:t>48</w:t>
      </w:r>
      <w:r w:rsidRPr="003013DE">
        <w:rPr>
          <w:rFonts w:ascii="Times New Roman" w:hAnsi="Times New Roman" w:cs="Times New Roman"/>
          <w:bCs/>
          <w:sz w:val="24"/>
          <w:szCs w:val="24"/>
        </w:rPr>
        <w:t>.</w:t>
      </w:r>
    </w:p>
    <w:p w14:paraId="298E4E7D" w14:textId="49DA6830" w:rsidR="00175F56" w:rsidRPr="003013DE" w:rsidRDefault="00175F56" w:rsidP="00A0642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butirato, en particular, ha demostrado efectos neuroprotectores y antiinflamatorios. Actúa como fuente energética para los colonocitos, fortalece la barrera intestinal y regula la expresión génica mediante la inhibición de histona desacetilasas (HDAC), un mecanismo epigenético que influye en la neuroplasticidad y la supervivencia neuronal. Además, el butirato puede modular la activación de la microglía, reduciendo procesos de neuroinflamación</w:t>
      </w:r>
      <w:r w:rsidR="00BA1E46" w:rsidRPr="003013DE">
        <w:rPr>
          <w:rFonts w:ascii="Times New Roman" w:hAnsi="Times New Roman" w:cs="Times New Roman"/>
          <w:bCs/>
          <w:sz w:val="24"/>
          <w:szCs w:val="24"/>
          <w:vertAlign w:val="superscript"/>
        </w:rPr>
        <w:t>48</w:t>
      </w:r>
      <w:r w:rsidRPr="003013DE">
        <w:rPr>
          <w:rFonts w:ascii="Times New Roman" w:hAnsi="Times New Roman" w:cs="Times New Roman"/>
          <w:bCs/>
          <w:sz w:val="24"/>
          <w:szCs w:val="24"/>
        </w:rPr>
        <w:t>.</w:t>
      </w:r>
    </w:p>
    <w:p w14:paraId="5365D5D2" w14:textId="72D36695" w:rsidR="00175F56" w:rsidRPr="003013DE" w:rsidRDefault="00175F56" w:rsidP="00175F56">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AGCC también pueden influir en el SNC a través de receptores específicos acoplados a proteínas G (GPR41, GPR43), presentes en células inmunológicas, endocrinas y neuronas. Mediante estas vías, los AGCC participan en la regulación del apetito, la respuesta al estrés y la conducta, consolidándose como mediadores clave del eje microbiota–intestino–cerebro</w:t>
      </w:r>
      <w:r w:rsidR="00BA1E46" w:rsidRPr="003013DE">
        <w:rPr>
          <w:rFonts w:ascii="Times New Roman" w:hAnsi="Times New Roman" w:cs="Times New Roman"/>
          <w:bCs/>
          <w:sz w:val="24"/>
          <w:szCs w:val="24"/>
          <w:vertAlign w:val="superscript"/>
        </w:rPr>
        <w:t>48</w:t>
      </w:r>
      <w:r w:rsidRPr="003013DE">
        <w:rPr>
          <w:rFonts w:ascii="Times New Roman" w:hAnsi="Times New Roman" w:cs="Times New Roman"/>
          <w:bCs/>
          <w:sz w:val="24"/>
          <w:szCs w:val="24"/>
        </w:rPr>
        <w:t>.</w:t>
      </w:r>
    </w:p>
    <w:p w14:paraId="2EBB0004" w14:textId="0336EC09" w:rsidR="00175F56" w:rsidRPr="003013DE" w:rsidRDefault="00A0642F" w:rsidP="0008506B">
      <w:pPr>
        <w:pStyle w:val="Ttulo3"/>
        <w:rPr>
          <w:rFonts w:ascii="Times New Roman" w:hAnsi="Times New Roman" w:cs="Times New Roman"/>
          <w:b/>
          <w:color w:val="auto"/>
          <w:sz w:val="24"/>
          <w:szCs w:val="24"/>
        </w:rPr>
      </w:pPr>
      <w:bookmarkStart w:id="53" w:name="_Toc223177141"/>
      <w:r w:rsidRPr="003013DE">
        <w:rPr>
          <w:rFonts w:ascii="Times New Roman" w:hAnsi="Times New Roman" w:cs="Times New Roman"/>
          <w:b/>
          <w:color w:val="auto"/>
          <w:sz w:val="24"/>
          <w:szCs w:val="24"/>
        </w:rPr>
        <w:t>2.4.</w:t>
      </w:r>
      <w:r w:rsidR="0024462C" w:rsidRPr="003013DE">
        <w:rPr>
          <w:rFonts w:ascii="Times New Roman" w:hAnsi="Times New Roman" w:cs="Times New Roman"/>
          <w:b/>
          <w:color w:val="auto"/>
          <w:sz w:val="24"/>
          <w:szCs w:val="24"/>
        </w:rPr>
        <w:t xml:space="preserve">3 </w:t>
      </w:r>
      <w:r w:rsidR="00175F56" w:rsidRPr="003013DE">
        <w:rPr>
          <w:rFonts w:ascii="Times New Roman" w:hAnsi="Times New Roman" w:cs="Times New Roman"/>
          <w:b/>
          <w:color w:val="auto"/>
          <w:sz w:val="24"/>
          <w:szCs w:val="24"/>
        </w:rPr>
        <w:t>Citocinas y mediadores inmunológicos</w:t>
      </w:r>
      <w:bookmarkEnd w:id="53"/>
    </w:p>
    <w:p w14:paraId="296209A6" w14:textId="095CCC4E" w:rsidR="00175F56" w:rsidRPr="003013DE" w:rsidRDefault="00175F56"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sistema inmunológico constituye un intermediario esencial en la interacción entre microbiota y cerebro, siendo las citocinas uno de los principales mediadores de esta comunicación. La microbiota intestinal regula la producción de citocinas proinflamatorias y antiinflamatorias a nivel intestinal y sistémico, influyendo directamente en el equilibrio inmunológico del organismo</w:t>
      </w:r>
      <w:r w:rsidR="00BA1E46" w:rsidRPr="003013DE">
        <w:rPr>
          <w:rFonts w:ascii="Times New Roman" w:hAnsi="Times New Roman" w:cs="Times New Roman"/>
          <w:bCs/>
          <w:sz w:val="24"/>
          <w:szCs w:val="24"/>
          <w:vertAlign w:val="superscript"/>
        </w:rPr>
        <w:t>49</w:t>
      </w:r>
      <w:r w:rsidRPr="003013DE">
        <w:rPr>
          <w:rFonts w:ascii="Times New Roman" w:hAnsi="Times New Roman" w:cs="Times New Roman"/>
          <w:bCs/>
          <w:sz w:val="24"/>
          <w:szCs w:val="24"/>
        </w:rPr>
        <w:t>.</w:t>
      </w:r>
    </w:p>
    <w:p w14:paraId="26C1C2F6" w14:textId="22CA7962" w:rsidR="00175F56" w:rsidRPr="003013DE" w:rsidRDefault="00175F56" w:rsidP="0024462C">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condiciones de homeostasis, el microbiota promueve la producción de citocinas antiinflamatorias, como IL-10, y favorece la diferenciación de linfocitos T reguladores, contribuyendo a un entorno inmunológico tolerogénico. Estas señales inmunes pueden influir sobre el SNC, modulando la función neuronal y la activación microglial</w:t>
      </w:r>
      <w:r w:rsidR="00BA1E46" w:rsidRPr="003013DE">
        <w:rPr>
          <w:rFonts w:ascii="Times New Roman" w:hAnsi="Times New Roman" w:cs="Times New Roman"/>
          <w:bCs/>
          <w:sz w:val="24"/>
          <w:szCs w:val="24"/>
          <w:vertAlign w:val="superscript"/>
        </w:rPr>
        <w:t>49</w:t>
      </w:r>
      <w:r w:rsidRPr="003013DE">
        <w:rPr>
          <w:rFonts w:ascii="Times New Roman" w:hAnsi="Times New Roman" w:cs="Times New Roman"/>
          <w:bCs/>
          <w:sz w:val="24"/>
          <w:szCs w:val="24"/>
        </w:rPr>
        <w:t>.</w:t>
      </w:r>
    </w:p>
    <w:p w14:paraId="72611854" w14:textId="19B4D569" w:rsidR="00175F56" w:rsidRPr="003013DE" w:rsidRDefault="00175F56" w:rsidP="00175F56">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En contraste, la disbiosis intestinal se asocia con un aumento de citocinas proinflamatorias, como IL-6, TNF-α e IL-1β, las cuales pueden atravesar la barrera </w:t>
      </w:r>
      <w:r w:rsidRPr="003013DE">
        <w:rPr>
          <w:rFonts w:ascii="Times New Roman" w:hAnsi="Times New Roman" w:cs="Times New Roman"/>
          <w:bCs/>
          <w:sz w:val="24"/>
          <w:szCs w:val="24"/>
        </w:rPr>
        <w:lastRenderedPageBreak/>
        <w:t>hematoencefálica o activar vías neurales indirectas. Este estado de inflamación sistémica de bajo grado se ha vinculado con procesos de neuroinflamación, alteraciones cognitivas y trastornos del estado de ánimo</w:t>
      </w:r>
      <w:r w:rsidR="00BA1E46" w:rsidRPr="003013DE">
        <w:rPr>
          <w:rFonts w:ascii="Times New Roman" w:hAnsi="Times New Roman" w:cs="Times New Roman"/>
          <w:bCs/>
          <w:sz w:val="24"/>
          <w:szCs w:val="24"/>
          <w:vertAlign w:val="superscript"/>
        </w:rPr>
        <w:t>49</w:t>
      </w:r>
      <w:r w:rsidRPr="003013DE">
        <w:rPr>
          <w:rFonts w:ascii="Times New Roman" w:hAnsi="Times New Roman" w:cs="Times New Roman"/>
          <w:bCs/>
          <w:sz w:val="24"/>
          <w:szCs w:val="24"/>
        </w:rPr>
        <w:t>.</w:t>
      </w:r>
    </w:p>
    <w:p w14:paraId="23E0AA22" w14:textId="73CC6F40" w:rsidR="00175F56" w:rsidRPr="003013DE" w:rsidRDefault="0024462C" w:rsidP="0008506B">
      <w:pPr>
        <w:pStyle w:val="Ttulo3"/>
        <w:rPr>
          <w:rFonts w:ascii="Times New Roman" w:hAnsi="Times New Roman" w:cs="Times New Roman"/>
          <w:b/>
          <w:color w:val="auto"/>
          <w:sz w:val="24"/>
          <w:szCs w:val="24"/>
        </w:rPr>
      </w:pPr>
      <w:bookmarkStart w:id="54" w:name="_Toc223177142"/>
      <w:r w:rsidRPr="003013DE">
        <w:rPr>
          <w:rFonts w:ascii="Times New Roman" w:hAnsi="Times New Roman" w:cs="Times New Roman"/>
          <w:b/>
          <w:color w:val="auto"/>
          <w:sz w:val="24"/>
          <w:szCs w:val="24"/>
        </w:rPr>
        <w:t xml:space="preserve">2.4.4 </w:t>
      </w:r>
      <w:r w:rsidR="00175F56" w:rsidRPr="003013DE">
        <w:rPr>
          <w:rFonts w:ascii="Times New Roman" w:hAnsi="Times New Roman" w:cs="Times New Roman"/>
          <w:b/>
          <w:color w:val="auto"/>
          <w:sz w:val="24"/>
          <w:szCs w:val="24"/>
        </w:rPr>
        <w:t>Hormonas del estrés y eje hipotálamo–hipófisis–adrenal</w:t>
      </w:r>
      <w:bookmarkEnd w:id="54"/>
    </w:p>
    <w:p w14:paraId="79444F48" w14:textId="4C98E29C" w:rsidR="00175F56" w:rsidRPr="003013DE" w:rsidRDefault="00175F56"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Las hormonas del estrés, particularmente los glucocorticoides como el cortisol, representan otro mecanismo clave de interacción entre microbiota y cerebro. Estas hormonas son liberadas en respuesta a la activación del eje hipotálamo–hipófisis–adrenal (HHA) y desempeñan un papel central en la adaptación al estrés</w:t>
      </w:r>
      <w:r w:rsidR="00BA1E46" w:rsidRPr="003013DE">
        <w:rPr>
          <w:rFonts w:ascii="Times New Roman" w:hAnsi="Times New Roman" w:cs="Times New Roman"/>
          <w:bCs/>
          <w:sz w:val="24"/>
          <w:szCs w:val="24"/>
          <w:vertAlign w:val="superscript"/>
        </w:rPr>
        <w:t>50</w:t>
      </w:r>
      <w:r w:rsidRPr="003013DE">
        <w:rPr>
          <w:rFonts w:ascii="Times New Roman" w:hAnsi="Times New Roman" w:cs="Times New Roman"/>
          <w:bCs/>
          <w:sz w:val="24"/>
          <w:szCs w:val="24"/>
        </w:rPr>
        <w:t>.</w:t>
      </w:r>
    </w:p>
    <w:p w14:paraId="0DC4A5CC" w14:textId="7778A664" w:rsidR="00175F56" w:rsidRPr="003013DE" w:rsidRDefault="00175F56" w:rsidP="0024462C">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microbiota intestinal modula la sensibilidad y reactividad del eje HHA. Estudios en modelos animales han demostrado que la ausencia o alteración del microbiota conduce a una respuesta exagerada al estrés, caracterizada por una mayor liberación de corticosterona. La restauración del microbiota mediante probióticos o trasplante fecal puede normalizar esta respuesta, evidenciando su papel regulador</w:t>
      </w:r>
      <w:r w:rsidR="00BA1E46" w:rsidRPr="003013DE">
        <w:rPr>
          <w:rFonts w:ascii="Times New Roman" w:hAnsi="Times New Roman" w:cs="Times New Roman"/>
          <w:bCs/>
          <w:sz w:val="24"/>
          <w:szCs w:val="24"/>
          <w:vertAlign w:val="superscript"/>
        </w:rPr>
        <w:t>50</w:t>
      </w:r>
      <w:r w:rsidRPr="003013DE">
        <w:rPr>
          <w:rFonts w:ascii="Times New Roman" w:hAnsi="Times New Roman" w:cs="Times New Roman"/>
          <w:bCs/>
          <w:sz w:val="24"/>
          <w:szCs w:val="24"/>
        </w:rPr>
        <w:t>.</w:t>
      </w:r>
    </w:p>
    <w:p w14:paraId="64019256" w14:textId="536F926F" w:rsidR="00175F56" w:rsidRPr="003013DE" w:rsidRDefault="00175F56" w:rsidP="00175F56">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 su vez, el cortisol influye sobre la función intestinal y la composición del microbiota, aumentando la permeabilidad intestinal y alterando el equilibrio microbiano. Este mecanismo de retroalimentación bidireccional conecta el estrés psicológico con cambios en el microbiota y la función cerebral, contribuyendo a la fisiopatología de trastornos relacionados con el estrés crónico</w:t>
      </w:r>
      <w:r w:rsidR="00BA1E46" w:rsidRPr="003013DE">
        <w:rPr>
          <w:rFonts w:ascii="Times New Roman" w:hAnsi="Times New Roman" w:cs="Times New Roman"/>
          <w:bCs/>
          <w:sz w:val="24"/>
          <w:szCs w:val="24"/>
          <w:vertAlign w:val="superscript"/>
        </w:rPr>
        <w:t>50</w:t>
      </w:r>
      <w:r w:rsidRPr="003013DE">
        <w:rPr>
          <w:rFonts w:ascii="Times New Roman" w:hAnsi="Times New Roman" w:cs="Times New Roman"/>
          <w:bCs/>
          <w:sz w:val="24"/>
          <w:szCs w:val="24"/>
        </w:rPr>
        <w:t>.</w:t>
      </w:r>
    </w:p>
    <w:p w14:paraId="1F2A7273" w14:textId="75B7D4A3" w:rsidR="00852FDA" w:rsidRPr="003013DE" w:rsidRDefault="00852FDA" w:rsidP="0008506B">
      <w:pPr>
        <w:pStyle w:val="Ttulo2"/>
        <w:rPr>
          <w:rFonts w:ascii="Times New Roman" w:hAnsi="Times New Roman" w:cs="Times New Roman"/>
          <w:b/>
          <w:color w:val="auto"/>
          <w:sz w:val="24"/>
          <w:szCs w:val="24"/>
        </w:rPr>
      </w:pPr>
      <w:bookmarkStart w:id="55" w:name="_Toc223177143"/>
      <w:r w:rsidRPr="003013DE">
        <w:rPr>
          <w:rFonts w:ascii="Times New Roman" w:hAnsi="Times New Roman" w:cs="Times New Roman"/>
          <w:b/>
          <w:color w:val="auto"/>
          <w:sz w:val="24"/>
          <w:szCs w:val="24"/>
        </w:rPr>
        <w:t xml:space="preserve">2.5. </w:t>
      </w:r>
      <w:r w:rsidR="00575CD0" w:rsidRPr="003013DE">
        <w:rPr>
          <w:rFonts w:ascii="Times New Roman" w:hAnsi="Times New Roman" w:cs="Times New Roman"/>
          <w:b/>
          <w:color w:val="auto"/>
          <w:sz w:val="24"/>
          <w:szCs w:val="24"/>
        </w:rPr>
        <w:t>Influencia del microbiota intestinal en la función cognitiva y emocional</w:t>
      </w:r>
      <w:bookmarkEnd w:id="55"/>
    </w:p>
    <w:p w14:paraId="173D48AD" w14:textId="248F6862" w:rsidR="00CD4658" w:rsidRPr="003013DE" w:rsidRDefault="00CD4658"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función cognitiva y emocional humana es el resultado de una interacción compleja entre factores genéticos, ambientales, neurobiológicos e inmunológicos. En los últimos años, la evidencia científica ha demostrado que el microbiota intestinal desempeña un papel relevante en estos procesos, actuando como un modulador clave del funcionamiento cerebral a través del eje microbiota–intestino–cerebro. El equilibrio microbiano intestinal se asocia con la regulación del estado de ánimo, la memoria, la ansiedad y la respuesta al estrés, mientras que la disbiosis se ha vinculado con alteraciones cognitivas y emocionales</w:t>
      </w:r>
      <w:r w:rsidR="00384A53"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2519C447" w14:textId="77777777" w:rsidR="00CD4658" w:rsidRPr="003013DE" w:rsidRDefault="00CD4658" w:rsidP="00CD4658">
      <w:pPr>
        <w:spacing w:line="360" w:lineRule="auto"/>
        <w:ind w:firstLine="708"/>
        <w:jc w:val="both"/>
        <w:rPr>
          <w:rFonts w:ascii="Times New Roman" w:hAnsi="Times New Roman" w:cs="Times New Roman"/>
          <w:bCs/>
          <w:sz w:val="24"/>
          <w:szCs w:val="24"/>
        </w:rPr>
      </w:pPr>
    </w:p>
    <w:p w14:paraId="520AC6F2" w14:textId="69746EF5" w:rsidR="00CD4658" w:rsidRPr="003013DE" w:rsidRDefault="00CD4658" w:rsidP="002314B5">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lastRenderedPageBreak/>
        <w:t>Los mecanismos mediante los cuales la microbiota influye en el cerebro incluyen la producción de metabolitos neuroactivos, la modulación del sistema inmunológico, la regulación del eje hipotálamo–hipófisis–adrenal y la activación de vías neuronales aferentes, como el nervio vago. Estas vías permiten que señales originadas en el intestino impacten regiones cerebrales implicadas en la emoción, la cognición y el comportamiento</w:t>
      </w:r>
      <w:r w:rsidR="007E6919"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027F1247" w14:textId="30DD5CB4" w:rsidR="00CD4658" w:rsidRPr="003013DE" w:rsidRDefault="00CD4658" w:rsidP="00CD465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comprensión de la influencia del microbiota intestinal en la función cognitiva y emocional ha dado lugar al concepto de psicobióticos, definido como microorganismos que, cuando se administran en cantidades adecuadas, confieren beneficios sobre la salud mental del hospedador. Este enfoque refuerza la relevancia del microbiota como un factor emergente en la neurociencia y la psiquiatría</w:t>
      </w:r>
      <w:r w:rsidR="007E6919"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50FB4C0C" w14:textId="1DE68C91" w:rsidR="00CD4658" w:rsidRPr="003013DE" w:rsidRDefault="002314B5" w:rsidP="00FA61E0">
      <w:pPr>
        <w:pStyle w:val="Ttulo3"/>
        <w:rPr>
          <w:rFonts w:ascii="Times New Roman" w:hAnsi="Times New Roman" w:cs="Times New Roman"/>
          <w:b/>
          <w:color w:val="auto"/>
          <w:sz w:val="24"/>
          <w:szCs w:val="24"/>
        </w:rPr>
      </w:pPr>
      <w:bookmarkStart w:id="56" w:name="_Toc223177144"/>
      <w:r w:rsidRPr="003013DE">
        <w:rPr>
          <w:rFonts w:ascii="Times New Roman" w:hAnsi="Times New Roman" w:cs="Times New Roman"/>
          <w:b/>
          <w:color w:val="auto"/>
          <w:sz w:val="24"/>
          <w:szCs w:val="24"/>
        </w:rPr>
        <w:t xml:space="preserve">2.5.1 </w:t>
      </w:r>
      <w:r w:rsidR="00CD4658" w:rsidRPr="003013DE">
        <w:rPr>
          <w:rFonts w:ascii="Times New Roman" w:hAnsi="Times New Roman" w:cs="Times New Roman"/>
          <w:b/>
          <w:color w:val="auto"/>
          <w:sz w:val="24"/>
          <w:szCs w:val="24"/>
        </w:rPr>
        <w:t>Microbiota intestinal y regulación del estado de ánimo</w:t>
      </w:r>
      <w:bookmarkEnd w:id="56"/>
    </w:p>
    <w:p w14:paraId="6FFC0797" w14:textId="4E7C246B" w:rsidR="00CD4658" w:rsidRPr="003013DE" w:rsidRDefault="00CD4658"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Diversos estudios han demostrado que el equilibrio del microbiota intestinal está estrechamente relacionado con la regulación del estado de ánimo, particularmente en trastornos como la depresión. La microbiota influye en la disponibilidad de neurotransmisores clave, como la serotonina, la dopamina y el GABA, los cuales desempeñan un papel central en la modulación del afecto y la motivación</w:t>
      </w:r>
      <w:r w:rsidR="007E6919" w:rsidRPr="003013DE">
        <w:rPr>
          <w:rFonts w:ascii="Times New Roman" w:hAnsi="Times New Roman" w:cs="Times New Roman"/>
          <w:bCs/>
          <w:sz w:val="24"/>
          <w:szCs w:val="24"/>
          <w:vertAlign w:val="superscript"/>
        </w:rPr>
        <w:t>45</w:t>
      </w:r>
      <w:r w:rsidRPr="003013DE">
        <w:rPr>
          <w:rFonts w:ascii="Times New Roman" w:hAnsi="Times New Roman" w:cs="Times New Roman"/>
          <w:bCs/>
          <w:sz w:val="24"/>
          <w:szCs w:val="24"/>
        </w:rPr>
        <w:t>.</w:t>
      </w:r>
    </w:p>
    <w:p w14:paraId="73AEBE56" w14:textId="614CA9A1" w:rsidR="00CD4658" w:rsidRPr="003013DE" w:rsidRDefault="00CD4658" w:rsidP="002314B5">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serotonina es especialmente relevante, ya que la mayor parte de su producción ocurre en el intestino y es modulada por la microbiota. Alteraciones en la composición microbiana pueden afectar el metabolismo del triptófano, desviándolo hacia rutas proinflamatorias, lo que reduce la disponibilidad de serotonina y se asocia con síntomas depresivos. Asimismo, la disbiosis intestinal se ha vinculado con un aumento de citocinas proinflamatorias que pueden inducir cambios neuroquímicos relacionados con la depresión</w:t>
      </w:r>
      <w:r w:rsidR="007E6919" w:rsidRPr="003013DE">
        <w:rPr>
          <w:rFonts w:ascii="Times New Roman" w:hAnsi="Times New Roman" w:cs="Times New Roman"/>
          <w:bCs/>
          <w:sz w:val="24"/>
          <w:szCs w:val="24"/>
          <w:vertAlign w:val="superscript"/>
        </w:rPr>
        <w:t>45</w:t>
      </w:r>
      <w:r w:rsidRPr="003013DE">
        <w:rPr>
          <w:rFonts w:ascii="Times New Roman" w:hAnsi="Times New Roman" w:cs="Times New Roman"/>
          <w:bCs/>
          <w:sz w:val="24"/>
          <w:szCs w:val="24"/>
        </w:rPr>
        <w:t>.</w:t>
      </w:r>
    </w:p>
    <w:p w14:paraId="11C8E913" w14:textId="0EB8B038" w:rsidR="00CD4658" w:rsidRPr="003013DE" w:rsidRDefault="00CD4658" w:rsidP="00CD465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Estudios clínicos y preclínicos han evidenciado que la modulación del microbiota mediante probióticos o intervenciones dietéticas puede mejorar parámetros relacionados con el estado de ánimo, reduciendo síntomas depresivos y mejorando el bienestar psicológico. Estos hallazgos respaldan la noción de que el microbiota intestinal actúa como un regulador importante del equilibrio emocional</w:t>
      </w:r>
      <w:r w:rsidR="007E6919" w:rsidRPr="003013DE">
        <w:rPr>
          <w:rFonts w:ascii="Times New Roman" w:hAnsi="Times New Roman" w:cs="Times New Roman"/>
          <w:bCs/>
          <w:sz w:val="24"/>
          <w:szCs w:val="24"/>
          <w:vertAlign w:val="superscript"/>
        </w:rPr>
        <w:t>45</w:t>
      </w:r>
      <w:r w:rsidRPr="003013DE">
        <w:rPr>
          <w:rFonts w:ascii="Times New Roman" w:hAnsi="Times New Roman" w:cs="Times New Roman"/>
          <w:bCs/>
          <w:sz w:val="24"/>
          <w:szCs w:val="24"/>
        </w:rPr>
        <w:t>.</w:t>
      </w:r>
    </w:p>
    <w:p w14:paraId="13487D04" w14:textId="40D9B67C" w:rsidR="00CD4658" w:rsidRPr="003013DE" w:rsidRDefault="002314B5" w:rsidP="00FA61E0">
      <w:pPr>
        <w:pStyle w:val="Ttulo3"/>
        <w:rPr>
          <w:rFonts w:ascii="Times New Roman" w:hAnsi="Times New Roman" w:cs="Times New Roman"/>
          <w:b/>
          <w:color w:val="auto"/>
          <w:sz w:val="24"/>
          <w:szCs w:val="24"/>
        </w:rPr>
      </w:pPr>
      <w:bookmarkStart w:id="57" w:name="_Toc223177145"/>
      <w:r w:rsidRPr="003013DE">
        <w:rPr>
          <w:rFonts w:ascii="Times New Roman" w:hAnsi="Times New Roman" w:cs="Times New Roman"/>
          <w:b/>
          <w:color w:val="auto"/>
          <w:sz w:val="24"/>
          <w:szCs w:val="24"/>
        </w:rPr>
        <w:lastRenderedPageBreak/>
        <w:t xml:space="preserve">2.5.2 </w:t>
      </w:r>
      <w:r w:rsidR="00CD4658" w:rsidRPr="003013DE">
        <w:rPr>
          <w:rFonts w:ascii="Times New Roman" w:hAnsi="Times New Roman" w:cs="Times New Roman"/>
          <w:b/>
          <w:color w:val="auto"/>
          <w:sz w:val="24"/>
          <w:szCs w:val="24"/>
        </w:rPr>
        <w:t>Influencia del microbiota en la memoria y la función cognitiva</w:t>
      </w:r>
      <w:bookmarkEnd w:id="57"/>
    </w:p>
    <w:p w14:paraId="532A0103" w14:textId="4C3794B4" w:rsidR="00CD4658" w:rsidRPr="003013DE" w:rsidRDefault="00CD4658"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memoria y otras funciones cognitivas, como el aprendizaje y la atención, también se ven influenciadas por la composición y actividad del microbiota intestinal. La evidencia sugiere que los metabolitos microbianos pueden afectar procesos de neuroplasticidad, neurogénesis y conectividad sináptica, particularmente en regiones cerebrales como el hipocampo y la corteza prefrontal</w:t>
      </w:r>
      <w:r w:rsidR="007E6919" w:rsidRPr="003013DE">
        <w:rPr>
          <w:rFonts w:ascii="Times New Roman" w:hAnsi="Times New Roman" w:cs="Times New Roman"/>
          <w:bCs/>
          <w:sz w:val="24"/>
          <w:szCs w:val="24"/>
          <w:vertAlign w:val="superscript"/>
        </w:rPr>
        <w:t>46</w:t>
      </w:r>
      <w:r w:rsidRPr="003013DE">
        <w:rPr>
          <w:rFonts w:ascii="Times New Roman" w:hAnsi="Times New Roman" w:cs="Times New Roman"/>
          <w:bCs/>
          <w:sz w:val="24"/>
          <w:szCs w:val="24"/>
        </w:rPr>
        <w:t>.</w:t>
      </w:r>
    </w:p>
    <w:p w14:paraId="773B532A" w14:textId="2C79131C" w:rsidR="00CD4658" w:rsidRPr="003013DE" w:rsidRDefault="00CD4658" w:rsidP="002314B5">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ácidos grasos de cadena corta, especialmente el butirato, han demostrado efectos beneficiosos sobre la función cognitiva mediante la regulación epigenética de la expresión génica y la promoción de la plasticidad neuronal. Además, el microbiota influye en la activación microglial, un componente clave en el mantenimiento de la homeostasis cerebral y en la eliminación de sinapsis disfuncionales</w:t>
      </w:r>
      <w:r w:rsidR="007E6919" w:rsidRPr="003013DE">
        <w:rPr>
          <w:rFonts w:ascii="Times New Roman" w:hAnsi="Times New Roman" w:cs="Times New Roman"/>
          <w:bCs/>
          <w:sz w:val="24"/>
          <w:szCs w:val="24"/>
          <w:vertAlign w:val="superscript"/>
        </w:rPr>
        <w:t>46</w:t>
      </w:r>
      <w:r w:rsidRPr="003013DE">
        <w:rPr>
          <w:rFonts w:ascii="Times New Roman" w:hAnsi="Times New Roman" w:cs="Times New Roman"/>
          <w:bCs/>
          <w:sz w:val="24"/>
          <w:szCs w:val="24"/>
        </w:rPr>
        <w:t>.</w:t>
      </w:r>
    </w:p>
    <w:p w14:paraId="39F25AEF" w14:textId="6FF2F03B" w:rsidR="00CD4658" w:rsidRPr="003013DE" w:rsidRDefault="00CD4658" w:rsidP="00CD465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se ha asociado con deterioro cognitivo y alteraciones de la memoria, tanto en modelos animales como en estudios observacionales en humanos. Estas asociaciones son particularmente relevantes en el contexto del envejecimiento y de enfermedades neurodegenerativas, donde la alteración del microbiota podría contribuir al deterioro cognitivo progresivo</w:t>
      </w:r>
      <w:r w:rsidR="007E6919" w:rsidRPr="003013DE">
        <w:rPr>
          <w:rFonts w:ascii="Times New Roman" w:hAnsi="Times New Roman" w:cs="Times New Roman"/>
          <w:bCs/>
          <w:sz w:val="24"/>
          <w:szCs w:val="24"/>
          <w:vertAlign w:val="superscript"/>
        </w:rPr>
        <w:t>46</w:t>
      </w:r>
      <w:r w:rsidRPr="003013DE">
        <w:rPr>
          <w:rFonts w:ascii="Times New Roman" w:hAnsi="Times New Roman" w:cs="Times New Roman"/>
          <w:bCs/>
          <w:sz w:val="24"/>
          <w:szCs w:val="24"/>
        </w:rPr>
        <w:t>.</w:t>
      </w:r>
    </w:p>
    <w:p w14:paraId="0A455AFF" w14:textId="324E4943" w:rsidR="00CD4658" w:rsidRPr="003013DE" w:rsidRDefault="002314B5" w:rsidP="00FA61E0">
      <w:pPr>
        <w:pStyle w:val="Ttulo3"/>
        <w:rPr>
          <w:rFonts w:ascii="Times New Roman" w:hAnsi="Times New Roman" w:cs="Times New Roman"/>
          <w:b/>
          <w:color w:val="auto"/>
          <w:sz w:val="24"/>
          <w:szCs w:val="24"/>
        </w:rPr>
      </w:pPr>
      <w:bookmarkStart w:id="58" w:name="_Toc223177146"/>
      <w:r w:rsidRPr="003013DE">
        <w:rPr>
          <w:rFonts w:ascii="Times New Roman" w:hAnsi="Times New Roman" w:cs="Times New Roman"/>
          <w:b/>
          <w:color w:val="auto"/>
          <w:sz w:val="24"/>
          <w:szCs w:val="24"/>
        </w:rPr>
        <w:t xml:space="preserve">2.5.3 </w:t>
      </w:r>
      <w:r w:rsidR="00CD4658" w:rsidRPr="003013DE">
        <w:rPr>
          <w:rFonts w:ascii="Times New Roman" w:hAnsi="Times New Roman" w:cs="Times New Roman"/>
          <w:b/>
          <w:color w:val="auto"/>
          <w:sz w:val="24"/>
          <w:szCs w:val="24"/>
        </w:rPr>
        <w:t>Microbiota intestinal y ansiedad</w:t>
      </w:r>
      <w:bookmarkEnd w:id="58"/>
    </w:p>
    <w:p w14:paraId="77038141" w14:textId="073EFB3A" w:rsidR="00CD4658" w:rsidRPr="003013DE" w:rsidRDefault="00CD4658" w:rsidP="000B7452">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relación entre el microbiota intestinal y la ansiedad ha sido ampliamente documentada en modelos animales y, de forma creciente, en estudios clínicos. Animales libres de microbiota o con disbiosis inducida presentan conductas similares a la ansiedad, las cuales pueden revertirse parcialmente mediante la restauración del microbiota</w:t>
      </w:r>
      <w:r w:rsidR="006D202E" w:rsidRPr="003013DE">
        <w:rPr>
          <w:rFonts w:ascii="Times New Roman" w:hAnsi="Times New Roman" w:cs="Times New Roman"/>
          <w:bCs/>
          <w:sz w:val="24"/>
          <w:szCs w:val="24"/>
          <w:vertAlign w:val="superscript"/>
        </w:rPr>
        <w:t>49</w:t>
      </w:r>
      <w:r w:rsidRPr="003013DE">
        <w:rPr>
          <w:rFonts w:ascii="Times New Roman" w:hAnsi="Times New Roman" w:cs="Times New Roman"/>
          <w:bCs/>
          <w:sz w:val="24"/>
          <w:szCs w:val="24"/>
        </w:rPr>
        <w:t>.</w:t>
      </w:r>
    </w:p>
    <w:p w14:paraId="1718B118" w14:textId="5109516B" w:rsidR="00CD4658" w:rsidRPr="003013DE" w:rsidRDefault="00CD4658" w:rsidP="002314B5">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mecanismos implicados incluyen la modulación de neurotransmisores inhibitorios como el GABA, la regulación del eje hipotálamo–hipófisis–adrenal y la activación de vías vagales aferentes. La microbiota también influye en la expresión de receptores cerebrales relacionados con la ansiedad y en la reactividad del sistema límbico</w:t>
      </w:r>
      <w:r w:rsidR="00043ECC" w:rsidRPr="003013DE">
        <w:rPr>
          <w:rFonts w:ascii="Times New Roman" w:hAnsi="Times New Roman" w:cs="Times New Roman"/>
          <w:bCs/>
          <w:sz w:val="24"/>
          <w:szCs w:val="24"/>
          <w:vertAlign w:val="superscript"/>
        </w:rPr>
        <w:t>50</w:t>
      </w:r>
      <w:r w:rsidRPr="003013DE">
        <w:rPr>
          <w:rFonts w:ascii="Times New Roman" w:hAnsi="Times New Roman" w:cs="Times New Roman"/>
          <w:bCs/>
          <w:sz w:val="24"/>
          <w:szCs w:val="24"/>
        </w:rPr>
        <w:t>.</w:t>
      </w:r>
    </w:p>
    <w:p w14:paraId="294E9706" w14:textId="22333624" w:rsidR="00CD4658" w:rsidRPr="003013DE" w:rsidRDefault="00CD4658" w:rsidP="00CD465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En humanos, se ha observado que individuos con trastornos de ansiedad presentan perfiles microbianos distintos a los de sujetos sanos, caracterizados por menor diversidad y alteraciones en bacterias productoras de metabolitos neuroactivos. La intervención con probióticos específicos ha mostrado resultados prometedores en la reducción de síntomas </w:t>
      </w:r>
      <w:r w:rsidRPr="003013DE">
        <w:rPr>
          <w:rFonts w:ascii="Times New Roman" w:hAnsi="Times New Roman" w:cs="Times New Roman"/>
          <w:bCs/>
          <w:sz w:val="24"/>
          <w:szCs w:val="24"/>
        </w:rPr>
        <w:lastRenderedPageBreak/>
        <w:t>ansiosos, aunque se requieren más estudios clínicos controlados para consolidar esta evidencia</w:t>
      </w:r>
      <w:r w:rsidR="00043ECC" w:rsidRPr="003013DE">
        <w:rPr>
          <w:rFonts w:ascii="Times New Roman" w:hAnsi="Times New Roman" w:cs="Times New Roman"/>
          <w:bCs/>
          <w:sz w:val="24"/>
          <w:szCs w:val="24"/>
          <w:vertAlign w:val="superscript"/>
        </w:rPr>
        <w:t>50</w:t>
      </w:r>
      <w:r w:rsidRPr="003013DE">
        <w:rPr>
          <w:rFonts w:ascii="Times New Roman" w:hAnsi="Times New Roman" w:cs="Times New Roman"/>
          <w:bCs/>
          <w:sz w:val="24"/>
          <w:szCs w:val="24"/>
        </w:rPr>
        <w:t>.</w:t>
      </w:r>
    </w:p>
    <w:p w14:paraId="7206EC01" w14:textId="119090E5" w:rsidR="00CD4658" w:rsidRPr="003013DE" w:rsidRDefault="006B2CDA" w:rsidP="00FA61E0">
      <w:pPr>
        <w:pStyle w:val="Ttulo3"/>
        <w:rPr>
          <w:rFonts w:ascii="Times New Roman" w:hAnsi="Times New Roman" w:cs="Times New Roman"/>
          <w:b/>
          <w:color w:val="auto"/>
          <w:sz w:val="24"/>
          <w:szCs w:val="24"/>
        </w:rPr>
      </w:pPr>
      <w:bookmarkStart w:id="59" w:name="_Toc223177147"/>
      <w:r w:rsidRPr="003013DE">
        <w:rPr>
          <w:rFonts w:ascii="Times New Roman" w:hAnsi="Times New Roman" w:cs="Times New Roman"/>
          <w:b/>
          <w:color w:val="auto"/>
          <w:sz w:val="24"/>
          <w:szCs w:val="24"/>
        </w:rPr>
        <w:t xml:space="preserve">2.5.4 </w:t>
      </w:r>
      <w:r w:rsidR="00CD4658" w:rsidRPr="003013DE">
        <w:rPr>
          <w:rFonts w:ascii="Times New Roman" w:hAnsi="Times New Roman" w:cs="Times New Roman"/>
          <w:b/>
          <w:color w:val="auto"/>
          <w:sz w:val="24"/>
          <w:szCs w:val="24"/>
        </w:rPr>
        <w:t>Respuesta al estrés y microbiota intestinal</w:t>
      </w:r>
      <w:bookmarkEnd w:id="59"/>
    </w:p>
    <w:p w14:paraId="18E295BD" w14:textId="3A1C3032" w:rsidR="00CD4658" w:rsidRPr="003013DE" w:rsidRDefault="00CD4658" w:rsidP="00233CBE">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estrés constituye uno de los principales moduladores bidireccionales del eje microbiota–intestino–cerebro. La microbiota intestinal desempeña un papel clave en la regulación de la respuesta al estrés mediante su influencia sobre el eje hipotálamo–hipófisis–adrenal y la liberación de glucocorticoides</w:t>
      </w:r>
      <w:r w:rsidR="006D202E" w:rsidRPr="003013DE">
        <w:rPr>
          <w:rFonts w:ascii="Times New Roman" w:hAnsi="Times New Roman" w:cs="Times New Roman"/>
          <w:bCs/>
          <w:sz w:val="24"/>
          <w:szCs w:val="24"/>
          <w:vertAlign w:val="superscript"/>
        </w:rPr>
        <w:t>50</w:t>
      </w:r>
      <w:r w:rsidRPr="003013DE">
        <w:rPr>
          <w:rFonts w:ascii="Times New Roman" w:hAnsi="Times New Roman" w:cs="Times New Roman"/>
          <w:bCs/>
          <w:sz w:val="24"/>
          <w:szCs w:val="24"/>
        </w:rPr>
        <w:t>.</w:t>
      </w:r>
    </w:p>
    <w:p w14:paraId="1134A84E" w14:textId="70EC18B9" w:rsidR="00CD4658" w:rsidRPr="003013DE" w:rsidRDefault="00CD4658" w:rsidP="006B2CD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evidencia experimental demuestra que alteraciones tempranas del microbiota pueden programar una respuesta exagerada al estrés en etapas posteriores de la vida. Esta hipersensibilidad al estrés se asocia con cambios persistentes en la composición microbiana, aumento de la permeabilidad intestinal y activación inflamatoria sistémica</w:t>
      </w:r>
      <w:r w:rsidR="00043ECC" w:rsidRPr="003013DE">
        <w:rPr>
          <w:rFonts w:ascii="Times New Roman" w:hAnsi="Times New Roman" w:cs="Times New Roman"/>
          <w:bCs/>
          <w:sz w:val="24"/>
          <w:szCs w:val="24"/>
          <w:vertAlign w:val="superscript"/>
        </w:rPr>
        <w:t>51</w:t>
      </w:r>
      <w:r w:rsidRPr="003013DE">
        <w:rPr>
          <w:rFonts w:ascii="Times New Roman" w:hAnsi="Times New Roman" w:cs="Times New Roman"/>
          <w:bCs/>
          <w:sz w:val="24"/>
          <w:szCs w:val="24"/>
        </w:rPr>
        <w:t>.</w:t>
      </w:r>
    </w:p>
    <w:p w14:paraId="7E827563" w14:textId="5F588A39" w:rsidR="0073032C" w:rsidRPr="003013DE" w:rsidRDefault="00CD4658" w:rsidP="00CD465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 su vez, el estrés crónico puede inducir disbiosis intestinal, creando un círculo vicioso que perpetúa la disfunción emocional y cognitiva. La modulación del microbiota mediante estrategias nutricionales y probióticas se ha propuesto como una vía potencial para mejorar la resiliencia al estrés y reducir su impacto sobre la salud mental</w:t>
      </w:r>
      <w:r w:rsidR="006D202E" w:rsidRPr="003013DE">
        <w:rPr>
          <w:rFonts w:ascii="Times New Roman" w:hAnsi="Times New Roman" w:cs="Times New Roman"/>
          <w:bCs/>
          <w:sz w:val="24"/>
          <w:szCs w:val="24"/>
          <w:vertAlign w:val="superscript"/>
        </w:rPr>
        <w:t>5</w:t>
      </w:r>
      <w:r w:rsidR="00043ECC" w:rsidRPr="003013DE">
        <w:rPr>
          <w:rFonts w:ascii="Times New Roman" w:hAnsi="Times New Roman" w:cs="Times New Roman"/>
          <w:bCs/>
          <w:sz w:val="24"/>
          <w:szCs w:val="24"/>
          <w:vertAlign w:val="superscript"/>
        </w:rPr>
        <w:t>1</w:t>
      </w:r>
      <w:r w:rsidRPr="003013DE">
        <w:rPr>
          <w:rFonts w:ascii="Times New Roman" w:hAnsi="Times New Roman" w:cs="Times New Roman"/>
          <w:bCs/>
          <w:sz w:val="24"/>
          <w:szCs w:val="24"/>
        </w:rPr>
        <w:t>.</w:t>
      </w:r>
    </w:p>
    <w:p w14:paraId="769E911B" w14:textId="77777777" w:rsidR="009E0221" w:rsidRPr="003013DE" w:rsidRDefault="00852FDA" w:rsidP="00FA61E0">
      <w:pPr>
        <w:pStyle w:val="Ttulo2"/>
        <w:rPr>
          <w:rFonts w:ascii="Times New Roman" w:hAnsi="Times New Roman" w:cs="Times New Roman"/>
          <w:b/>
          <w:color w:val="auto"/>
          <w:sz w:val="24"/>
          <w:szCs w:val="24"/>
        </w:rPr>
      </w:pPr>
      <w:bookmarkStart w:id="60" w:name="_Toc223177148"/>
      <w:r w:rsidRPr="003013DE">
        <w:rPr>
          <w:rFonts w:ascii="Times New Roman" w:hAnsi="Times New Roman" w:cs="Times New Roman"/>
          <w:b/>
          <w:color w:val="auto"/>
          <w:sz w:val="24"/>
          <w:szCs w:val="24"/>
        </w:rPr>
        <w:t>2.6. Disbiosis intestinal: causas, consecuencias y clasificación</w:t>
      </w:r>
      <w:bookmarkEnd w:id="60"/>
    </w:p>
    <w:p w14:paraId="78A08EB6" w14:textId="39256299" w:rsidR="00E016E0" w:rsidRPr="003013DE" w:rsidRDefault="00E016E0" w:rsidP="00233CBE">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se ha consolidado como un concepto central en la investigación biomédica contemporánea, debido a su implicación en múltiples enfermedades metabólicas, inflamatorias y neurodegenerativas. El microbiota intestinal, cuando se encuentra en equilibrio, contribuye al mantenimiento de la homeostasis del organismo; sin embargo, alteraciones en su composición, diversidad o funcionalidad pueden desencadenar procesos patológicos sistémicos. La disbiosis no debe entenderse únicamente como la presencia de microorganismos patógenos, sino como una alteración compleja de la ecología microbiana y de su interacción con el hospedador</w:t>
      </w:r>
      <w:r w:rsidR="003A4DF7" w:rsidRPr="003013DE">
        <w:rPr>
          <w:rFonts w:ascii="Times New Roman" w:hAnsi="Times New Roman" w:cs="Times New Roman"/>
          <w:bCs/>
          <w:sz w:val="24"/>
          <w:szCs w:val="24"/>
          <w:vertAlign w:val="superscript"/>
        </w:rPr>
        <w:t>52</w:t>
      </w:r>
      <w:r w:rsidRPr="003013DE">
        <w:rPr>
          <w:rFonts w:ascii="Times New Roman" w:hAnsi="Times New Roman" w:cs="Times New Roman"/>
          <w:bCs/>
          <w:sz w:val="24"/>
          <w:szCs w:val="24"/>
        </w:rPr>
        <w:t>.</w:t>
      </w:r>
    </w:p>
    <w:p w14:paraId="7D6D904C" w14:textId="58A5A895" w:rsidR="0057223B" w:rsidRPr="003013DE" w:rsidRDefault="00E016E0" w:rsidP="0057223B">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En las últimas décadas, el avance de técnicas de secuenciación de nueva generación ha permitido identificar patrones específicos de disbiosis asociados a distintas patologías. Estos hallazgos han puesto de manifiesto que la disbiosis actúa tanto como factor causal como consecuencia de la enfermedad, estableciendo relaciones bidireccionales con procesos metabólicos, inflamatorios y neurodegenerativos. En este contexto, el estudio de la disbiosis </w:t>
      </w:r>
      <w:r w:rsidRPr="003013DE">
        <w:rPr>
          <w:rFonts w:ascii="Times New Roman" w:hAnsi="Times New Roman" w:cs="Times New Roman"/>
          <w:bCs/>
          <w:sz w:val="24"/>
          <w:szCs w:val="24"/>
        </w:rPr>
        <w:lastRenderedPageBreak/>
        <w:t>intestinal resulta clave para comprender la fisiopatología de enfermedades crónicas complejas</w:t>
      </w:r>
      <w:r w:rsidR="003A4DF7" w:rsidRPr="003013DE">
        <w:rPr>
          <w:rFonts w:ascii="Times New Roman" w:hAnsi="Times New Roman" w:cs="Times New Roman"/>
          <w:bCs/>
          <w:sz w:val="24"/>
          <w:szCs w:val="24"/>
          <w:vertAlign w:val="superscript"/>
        </w:rPr>
        <w:t>52</w:t>
      </w:r>
      <w:r w:rsidRPr="003013DE">
        <w:rPr>
          <w:rFonts w:ascii="Times New Roman" w:hAnsi="Times New Roman" w:cs="Times New Roman"/>
          <w:bCs/>
          <w:sz w:val="24"/>
          <w:szCs w:val="24"/>
        </w:rPr>
        <w:t>.</w:t>
      </w:r>
    </w:p>
    <w:p w14:paraId="6732DD84" w14:textId="18C49E4F" w:rsidR="00E016E0" w:rsidRPr="003013DE" w:rsidRDefault="00E016E0" w:rsidP="009C3A5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se define como una alteración cualitativa y/o cuantitativa del microbiota intestinal que afecta su diversidad, estabilidad y función metabólica, generando un desequilibrio en la relación simbiótica entre los microorganismos y el hospedador. Esta alteración puede manifestarse como una reducción de bacterias beneficiosas, un aumento de microorganismos potencialmente patógenos o una pérdida de diversidad microbiana global</w:t>
      </w:r>
      <w:r w:rsidR="003A4DF7" w:rsidRPr="003013DE">
        <w:rPr>
          <w:rFonts w:ascii="Times New Roman" w:hAnsi="Times New Roman" w:cs="Times New Roman"/>
          <w:bCs/>
          <w:sz w:val="24"/>
          <w:szCs w:val="24"/>
          <w:vertAlign w:val="superscript"/>
        </w:rPr>
        <w:t>53</w:t>
      </w:r>
      <w:r w:rsidRPr="003013DE">
        <w:rPr>
          <w:rFonts w:ascii="Times New Roman" w:hAnsi="Times New Roman" w:cs="Times New Roman"/>
          <w:bCs/>
          <w:sz w:val="24"/>
          <w:szCs w:val="24"/>
        </w:rPr>
        <w:t>.</w:t>
      </w:r>
    </w:p>
    <w:p w14:paraId="49E3C74A" w14:textId="63A3415F" w:rsidR="00E016E0" w:rsidRPr="003013DE" w:rsidRDefault="00E016E0" w:rsidP="009C3A5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Desde un enfoque funcional, la disbiosis implica cambios en la producción de metabolitos microbianos esenciales, como los ácidos grasos de cadena corta, vitaminas y neurotransmisores, lo que repercute negativamente en la integridad de la barrera intestinal, la regulación inmunológica y la comunicación con otros sistemas orgánicos. Así, la disbiosis no solo representa un cambio estructural del microbiota, sino también una disfunción metabólica y señalizadora</w:t>
      </w:r>
      <w:r w:rsidR="003A4DF7" w:rsidRPr="003013DE">
        <w:rPr>
          <w:rFonts w:ascii="Times New Roman" w:hAnsi="Times New Roman" w:cs="Times New Roman"/>
          <w:bCs/>
          <w:sz w:val="24"/>
          <w:szCs w:val="24"/>
          <w:vertAlign w:val="superscript"/>
        </w:rPr>
        <w:t>53</w:t>
      </w:r>
      <w:r w:rsidRPr="003013DE">
        <w:rPr>
          <w:rFonts w:ascii="Times New Roman" w:hAnsi="Times New Roman" w:cs="Times New Roman"/>
          <w:bCs/>
          <w:sz w:val="24"/>
          <w:szCs w:val="24"/>
        </w:rPr>
        <w:t>.</w:t>
      </w:r>
    </w:p>
    <w:p w14:paraId="426149CF" w14:textId="52372BE5" w:rsidR="00E016E0" w:rsidRPr="003013DE" w:rsidRDefault="00E016E0" w:rsidP="00E016E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Diversos autores destacan que la disbiosis debe interpretarse dentro de un continuo dinámico, influenciado por factores genéticos, ambientales y conductuales. No existe un único perfil de microbiota “normal”, sino un rango de configuraciones saludables, lo que refuerza la importancia de considerar el contexto clínico y fisiológico del individuo al evaluar estados de disbiosis</w:t>
      </w:r>
      <w:r w:rsidR="003A4DF7" w:rsidRPr="003013DE">
        <w:rPr>
          <w:rFonts w:ascii="Times New Roman" w:hAnsi="Times New Roman" w:cs="Times New Roman"/>
          <w:bCs/>
          <w:sz w:val="24"/>
          <w:szCs w:val="24"/>
          <w:vertAlign w:val="superscript"/>
        </w:rPr>
        <w:t>53</w:t>
      </w:r>
      <w:r w:rsidRPr="003013DE">
        <w:rPr>
          <w:rFonts w:ascii="Times New Roman" w:hAnsi="Times New Roman" w:cs="Times New Roman"/>
          <w:bCs/>
          <w:sz w:val="24"/>
          <w:szCs w:val="24"/>
        </w:rPr>
        <w:t>.</w:t>
      </w:r>
    </w:p>
    <w:p w14:paraId="1B386BD2" w14:textId="7DE28280" w:rsidR="00762BBC" w:rsidRPr="00F35382" w:rsidRDefault="00FA61E0" w:rsidP="00FA61E0">
      <w:pPr>
        <w:jc w:val="center"/>
        <w:rPr>
          <w:rFonts w:ascii="Times New Roman" w:hAnsi="Times New Roman" w:cs="Times New Roman"/>
          <w:b/>
          <w:bCs/>
          <w:sz w:val="24"/>
          <w:szCs w:val="24"/>
        </w:rPr>
      </w:pPr>
      <w:bookmarkStart w:id="61" w:name="_Toc223177504"/>
      <w:r w:rsidRPr="00F35382">
        <w:rPr>
          <w:rFonts w:ascii="Times New Roman" w:hAnsi="Times New Roman" w:cs="Times New Roman"/>
          <w:b/>
          <w:bCs/>
          <w:sz w:val="24"/>
          <w:szCs w:val="24"/>
        </w:rPr>
        <w:t xml:space="preserve">Figura </w:t>
      </w:r>
      <w:r w:rsidRPr="00F35382">
        <w:rPr>
          <w:rFonts w:ascii="Times New Roman" w:hAnsi="Times New Roman" w:cs="Times New Roman"/>
          <w:b/>
          <w:bCs/>
          <w:sz w:val="24"/>
          <w:szCs w:val="24"/>
        </w:rPr>
        <w:fldChar w:fldCharType="begin"/>
      </w:r>
      <w:r w:rsidRPr="00F35382">
        <w:rPr>
          <w:rFonts w:ascii="Times New Roman" w:hAnsi="Times New Roman" w:cs="Times New Roman"/>
          <w:b/>
          <w:bCs/>
          <w:sz w:val="24"/>
          <w:szCs w:val="24"/>
        </w:rPr>
        <w:instrText xml:space="preserve"> SEQ Figura \* ARABIC </w:instrText>
      </w:r>
      <w:r w:rsidRPr="00F35382">
        <w:rPr>
          <w:rFonts w:ascii="Times New Roman" w:hAnsi="Times New Roman" w:cs="Times New Roman"/>
          <w:b/>
          <w:bCs/>
          <w:sz w:val="24"/>
          <w:szCs w:val="24"/>
        </w:rPr>
        <w:fldChar w:fldCharType="separate"/>
      </w:r>
      <w:r w:rsidRPr="00F35382">
        <w:rPr>
          <w:rFonts w:ascii="Times New Roman" w:hAnsi="Times New Roman" w:cs="Times New Roman"/>
          <w:b/>
          <w:bCs/>
          <w:noProof/>
          <w:sz w:val="24"/>
          <w:szCs w:val="24"/>
        </w:rPr>
        <w:t>2</w:t>
      </w:r>
      <w:r w:rsidRPr="00F35382">
        <w:rPr>
          <w:rFonts w:ascii="Times New Roman" w:hAnsi="Times New Roman" w:cs="Times New Roman"/>
          <w:b/>
          <w:bCs/>
          <w:sz w:val="24"/>
          <w:szCs w:val="24"/>
        </w:rPr>
        <w:fldChar w:fldCharType="end"/>
      </w:r>
      <w:r w:rsidR="00762BBC" w:rsidRPr="00F35382">
        <w:rPr>
          <w:rFonts w:ascii="Times New Roman" w:hAnsi="Times New Roman" w:cs="Times New Roman"/>
          <w:b/>
          <w:bCs/>
          <w:sz w:val="24"/>
          <w:szCs w:val="24"/>
        </w:rPr>
        <w:t xml:space="preserve">. </w:t>
      </w:r>
      <w:r w:rsidR="00762BBC" w:rsidRPr="00F35382">
        <w:rPr>
          <w:rFonts w:ascii="Times New Roman" w:eastAsia="Times New Roman" w:hAnsi="Times New Roman" w:cs="Times New Roman"/>
          <w:b/>
          <w:bCs/>
          <w:sz w:val="24"/>
          <w:szCs w:val="24"/>
        </w:rPr>
        <w:t>Representación esquemática de la influencia de la microbiota y sus metabolitos sobre la función barrera del intestino y el sistema inmunitario</w:t>
      </w:r>
      <w:r w:rsidR="00453502" w:rsidRPr="00F35382">
        <w:rPr>
          <w:rFonts w:ascii="Times New Roman" w:eastAsia="Times New Roman" w:hAnsi="Times New Roman" w:cs="Times New Roman"/>
          <w:b/>
          <w:bCs/>
          <w:sz w:val="24"/>
          <w:szCs w:val="24"/>
        </w:rPr>
        <w:t>.</w:t>
      </w:r>
      <w:bookmarkEnd w:id="61"/>
    </w:p>
    <w:p w14:paraId="1E62AC41" w14:textId="05783A21" w:rsidR="004D2457" w:rsidRPr="003013DE" w:rsidRDefault="00762BBC" w:rsidP="00E016E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noProof/>
          <w:sz w:val="24"/>
          <w:szCs w:val="24"/>
          <w14:ligatures w14:val="standardContextual"/>
        </w:rPr>
        <w:lastRenderedPageBreak/>
        <w:drawing>
          <wp:anchor distT="0" distB="0" distL="114300" distR="114300" simplePos="0" relativeHeight="251669504" behindDoc="0" locked="0" layoutInCell="1" allowOverlap="1" wp14:anchorId="705AB763" wp14:editId="1EE3D899">
            <wp:simplePos x="0" y="0"/>
            <wp:positionH relativeFrom="column">
              <wp:posOffset>0</wp:posOffset>
            </wp:positionH>
            <wp:positionV relativeFrom="paragraph">
              <wp:posOffset>368935</wp:posOffset>
            </wp:positionV>
            <wp:extent cx="5612130" cy="3917315"/>
            <wp:effectExtent l="0" t="0" r="1270" b="0"/>
            <wp:wrapTopAndBottom/>
            <wp:docPr id="1697091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09110" name="Imagen 16970911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12130" cy="3917315"/>
                    </a:xfrm>
                    <a:prstGeom prst="rect">
                      <a:avLst/>
                    </a:prstGeom>
                  </pic:spPr>
                </pic:pic>
              </a:graphicData>
            </a:graphic>
          </wp:anchor>
        </w:drawing>
      </w:r>
    </w:p>
    <w:p w14:paraId="33B433A1" w14:textId="7A051C1C" w:rsidR="00FA61E0" w:rsidRPr="00233CBE" w:rsidRDefault="002B7DE3" w:rsidP="00233CBE">
      <w:pPr>
        <w:spacing w:line="360" w:lineRule="auto"/>
        <w:jc w:val="center"/>
        <w:rPr>
          <w:rFonts w:ascii="Times New Roman" w:hAnsi="Times New Roman" w:cs="Times New Roman"/>
          <w:bCs/>
          <w:sz w:val="24"/>
          <w:szCs w:val="24"/>
        </w:rPr>
      </w:pPr>
      <w:r w:rsidRPr="003013DE">
        <w:rPr>
          <w:rFonts w:ascii="Times New Roman" w:hAnsi="Times New Roman" w:cs="Times New Roman"/>
          <w:bCs/>
          <w:sz w:val="24"/>
          <w:szCs w:val="24"/>
        </w:rPr>
        <w:t>Fuente: tomada de la referencia bibliográfica</w:t>
      </w:r>
      <w:r w:rsidRPr="003013DE">
        <w:rPr>
          <w:rFonts w:ascii="Times New Roman" w:hAnsi="Times New Roman" w:cs="Times New Roman"/>
          <w:bCs/>
          <w:sz w:val="24"/>
          <w:szCs w:val="24"/>
          <w:vertAlign w:val="superscript"/>
        </w:rPr>
        <w:t>53</w:t>
      </w:r>
      <w:r w:rsidRPr="003013DE">
        <w:rPr>
          <w:rFonts w:ascii="Times New Roman" w:hAnsi="Times New Roman" w:cs="Times New Roman"/>
          <w:bCs/>
          <w:sz w:val="24"/>
          <w:szCs w:val="24"/>
        </w:rPr>
        <w:t>.</w:t>
      </w:r>
    </w:p>
    <w:p w14:paraId="75133DAF" w14:textId="4113E7E6" w:rsidR="00E016E0" w:rsidRPr="003013DE" w:rsidRDefault="009C3A5F" w:rsidP="00FA61E0">
      <w:pPr>
        <w:pStyle w:val="Ttulo3"/>
        <w:rPr>
          <w:rFonts w:ascii="Times New Roman" w:hAnsi="Times New Roman" w:cs="Times New Roman"/>
          <w:b/>
          <w:color w:val="auto"/>
          <w:sz w:val="24"/>
          <w:szCs w:val="24"/>
        </w:rPr>
      </w:pPr>
      <w:bookmarkStart w:id="62" w:name="_Toc223177149"/>
      <w:r w:rsidRPr="003013DE">
        <w:rPr>
          <w:rFonts w:ascii="Times New Roman" w:hAnsi="Times New Roman" w:cs="Times New Roman"/>
          <w:b/>
          <w:color w:val="auto"/>
          <w:sz w:val="24"/>
          <w:szCs w:val="24"/>
        </w:rPr>
        <w:t xml:space="preserve">2.6.1 </w:t>
      </w:r>
      <w:r w:rsidR="00E016E0" w:rsidRPr="003013DE">
        <w:rPr>
          <w:rFonts w:ascii="Times New Roman" w:hAnsi="Times New Roman" w:cs="Times New Roman"/>
          <w:b/>
          <w:color w:val="auto"/>
          <w:sz w:val="24"/>
          <w:szCs w:val="24"/>
        </w:rPr>
        <w:t>Causas de la disbiosis intestinal</w:t>
      </w:r>
      <w:bookmarkEnd w:id="62"/>
    </w:p>
    <w:p w14:paraId="6A5B2833" w14:textId="5B241B82" w:rsidR="00E016E0" w:rsidRPr="003013DE" w:rsidRDefault="00E016E0" w:rsidP="00233CBE">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Las causas de la disbiosis intestinal son multifactoriales y reflejan la interacción entre el entorno, el estilo de vida y la susceptibilidad individual. Entre los factores más relevantes se encuentra la dieta, particularmente el consumo elevado de alimentos ultraprocesados, grasas saturadas y azúcares refinados, junto con una ingesta insuficiente de fibra dietética. Este patrón alimentario favorece la proliferación de bacterias proinflamatorias y reduce la abundancia de microorganismos productores de ácidos grasos de cadena corta</w:t>
      </w:r>
      <w:r w:rsidR="003D3849" w:rsidRPr="003013DE">
        <w:rPr>
          <w:rFonts w:ascii="Times New Roman" w:hAnsi="Times New Roman" w:cs="Times New Roman"/>
          <w:bCs/>
          <w:sz w:val="24"/>
          <w:szCs w:val="24"/>
          <w:vertAlign w:val="superscript"/>
        </w:rPr>
        <w:t>54</w:t>
      </w:r>
      <w:r w:rsidRPr="003013DE">
        <w:rPr>
          <w:rFonts w:ascii="Times New Roman" w:hAnsi="Times New Roman" w:cs="Times New Roman"/>
          <w:bCs/>
          <w:sz w:val="24"/>
          <w:szCs w:val="24"/>
        </w:rPr>
        <w:t>.</w:t>
      </w:r>
    </w:p>
    <w:p w14:paraId="2374C926" w14:textId="3DAF997A" w:rsidR="00E016E0" w:rsidRPr="003013DE" w:rsidRDefault="00E016E0" w:rsidP="009C3A5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uso indiscriminado de antibióticos constituye otra causa importante de disbiosis. Estos fármacos, aunque esenciales para el tratamiento de infecciones, pueden provocar una reducción drástica de la diversidad microbiana y permitir la colonización por bacterias oportunistas. Los efectos de los antibióticos sobre el microbiota pueden persistir durante meses o incluso años, especialmente cuando su uso ocurre en etapas tempranas de la vida</w:t>
      </w:r>
      <w:r w:rsidR="003D3849" w:rsidRPr="003013DE">
        <w:rPr>
          <w:rFonts w:ascii="Times New Roman" w:hAnsi="Times New Roman" w:cs="Times New Roman"/>
          <w:bCs/>
          <w:sz w:val="24"/>
          <w:szCs w:val="24"/>
          <w:vertAlign w:val="superscript"/>
        </w:rPr>
        <w:t>54</w:t>
      </w:r>
      <w:r w:rsidRPr="003013DE">
        <w:rPr>
          <w:rFonts w:ascii="Times New Roman" w:hAnsi="Times New Roman" w:cs="Times New Roman"/>
          <w:bCs/>
          <w:sz w:val="24"/>
          <w:szCs w:val="24"/>
        </w:rPr>
        <w:t>.</w:t>
      </w:r>
    </w:p>
    <w:p w14:paraId="52557BF6" w14:textId="50369B10" w:rsidR="00E016E0" w:rsidRPr="003013DE" w:rsidRDefault="00E016E0" w:rsidP="00E016E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lastRenderedPageBreak/>
        <w:t>Otros factores implicados incluyen el estrés crónico, la falta de actividad física, la exposición a contaminantes ambientales, el envejecimiento y ciertas enfermedades crónicas. El estrés, en particular, puede alterar la motilidad intestinal, la secreción de moco y la permeabilidad de la barrera intestinal, creando un entorno propicio para el desarrollo de disbiosis</w:t>
      </w:r>
      <w:r w:rsidR="003D3849" w:rsidRPr="003013DE">
        <w:rPr>
          <w:rFonts w:ascii="Times New Roman" w:hAnsi="Times New Roman" w:cs="Times New Roman"/>
          <w:bCs/>
          <w:sz w:val="24"/>
          <w:szCs w:val="24"/>
          <w:vertAlign w:val="superscript"/>
        </w:rPr>
        <w:t>54</w:t>
      </w:r>
      <w:r w:rsidRPr="003013DE">
        <w:rPr>
          <w:rFonts w:ascii="Times New Roman" w:hAnsi="Times New Roman" w:cs="Times New Roman"/>
          <w:bCs/>
          <w:sz w:val="24"/>
          <w:szCs w:val="24"/>
        </w:rPr>
        <w:t>.</w:t>
      </w:r>
    </w:p>
    <w:p w14:paraId="13B1E795" w14:textId="6A2D6CB2" w:rsidR="00E016E0" w:rsidRPr="003013DE" w:rsidRDefault="009C3A5F" w:rsidP="00FA61E0">
      <w:pPr>
        <w:pStyle w:val="Ttulo3"/>
        <w:rPr>
          <w:rFonts w:ascii="Times New Roman" w:hAnsi="Times New Roman" w:cs="Times New Roman"/>
          <w:b/>
          <w:color w:val="auto"/>
          <w:sz w:val="24"/>
          <w:szCs w:val="24"/>
        </w:rPr>
      </w:pPr>
      <w:bookmarkStart w:id="63" w:name="_Toc223177150"/>
      <w:r w:rsidRPr="003013DE">
        <w:rPr>
          <w:rFonts w:ascii="Times New Roman" w:hAnsi="Times New Roman" w:cs="Times New Roman"/>
          <w:b/>
          <w:color w:val="auto"/>
          <w:sz w:val="24"/>
          <w:szCs w:val="24"/>
        </w:rPr>
        <w:t xml:space="preserve">2.6.2 </w:t>
      </w:r>
      <w:r w:rsidR="00E016E0" w:rsidRPr="003013DE">
        <w:rPr>
          <w:rFonts w:ascii="Times New Roman" w:hAnsi="Times New Roman" w:cs="Times New Roman"/>
          <w:b/>
          <w:color w:val="auto"/>
          <w:sz w:val="24"/>
          <w:szCs w:val="24"/>
        </w:rPr>
        <w:t>Clasificación de la disbiosis intestinal</w:t>
      </w:r>
      <w:bookmarkEnd w:id="63"/>
    </w:p>
    <w:p w14:paraId="5531872A" w14:textId="250D5AAF" w:rsidR="00E016E0" w:rsidRPr="003013DE" w:rsidRDefault="00E016E0" w:rsidP="00233CBE">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Desde un punto de vista conceptual, la disbiosis intestinal puede clasificarse en diferentes tipos según la naturaleza de la alteración microbiana. Una clasificación ampliamente utilizada distingue entre disbiosis por pérdida de microorganismos beneficiosos, disbiosis por sobrecrecimiento de microorganismos potencialmente patógenos y disbiosis por reducción de la diversidad microbiana. Estas categorías no son excluyentes y suelen coexistir en la práctica clínica</w:t>
      </w:r>
      <w:r w:rsidR="003D3849"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76A67A07" w14:textId="5C1A1BAE" w:rsidR="00E016E0" w:rsidRPr="003013DE" w:rsidRDefault="00E016E0" w:rsidP="009C3A5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Otra aproximación clasifica la disbiosis según su impacto funcional, diferenciando entre disbiosis inflamatoria, metabólica y neuroactiva. La disbiosis inflamatoria se caracteriza por un aumento de bacterias proinflamatorias y endotoxinas, como el lipopolisacárido, mientras que la disbiosis metabólica implica alteraciones en el metabolismo energético y lipídico. La disbiosis neuroactiva, por su parte, se asocia con cambios en la producción de neurotransmisores y neuromoduladores</w:t>
      </w:r>
      <w:r w:rsidR="003D3849"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6BA447D1" w14:textId="7EB76363" w:rsidR="00E016E0" w:rsidRPr="003013DE" w:rsidRDefault="00E016E0" w:rsidP="00E016E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el ámbito clínico, también se ha propuesto la clasificación de la disbiosis en primaria y secundaria. La disbiosis primaria se origina directamente por factores externos como la dieta o los antibióticos, mientras que la secundaria surge como consecuencia de enfermedades sistémicas, como la diabetes, la obesidad o trastornos neurodegenerativos</w:t>
      </w:r>
      <w:r w:rsidR="003D3849"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1E9F1E08" w14:textId="1378CF3B" w:rsidR="00E016E0" w:rsidRPr="003013DE" w:rsidRDefault="009C3A5F" w:rsidP="00FA61E0">
      <w:pPr>
        <w:pStyle w:val="Ttulo3"/>
        <w:rPr>
          <w:rFonts w:ascii="Times New Roman" w:hAnsi="Times New Roman" w:cs="Times New Roman"/>
          <w:b/>
          <w:color w:val="auto"/>
          <w:sz w:val="24"/>
          <w:szCs w:val="24"/>
        </w:rPr>
      </w:pPr>
      <w:bookmarkStart w:id="64" w:name="_Toc223177151"/>
      <w:r w:rsidRPr="003013DE">
        <w:rPr>
          <w:rFonts w:ascii="Times New Roman" w:hAnsi="Times New Roman" w:cs="Times New Roman"/>
          <w:b/>
          <w:color w:val="auto"/>
          <w:sz w:val="24"/>
          <w:szCs w:val="24"/>
        </w:rPr>
        <w:t xml:space="preserve">2.6.3 </w:t>
      </w:r>
      <w:r w:rsidR="00E016E0" w:rsidRPr="003013DE">
        <w:rPr>
          <w:rFonts w:ascii="Times New Roman" w:hAnsi="Times New Roman" w:cs="Times New Roman"/>
          <w:b/>
          <w:color w:val="auto"/>
          <w:sz w:val="24"/>
          <w:szCs w:val="24"/>
        </w:rPr>
        <w:t>Consecuencias metabólicas de la disbiosis intestinal</w:t>
      </w:r>
      <w:bookmarkEnd w:id="64"/>
    </w:p>
    <w:p w14:paraId="68E734AA" w14:textId="5AA6DD32" w:rsidR="00E016E0" w:rsidRPr="003013DE" w:rsidRDefault="00E016E0" w:rsidP="00FE31E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se asocia estrechamente con alteraciones metabólicas, incluyendo obesidad, resistencia a la insulina y diabetes tipo 2. Los cambios en la composición microbiana pueden afectar la eficiencia en la extracción de energía de los alimentos y modificar el metabolismo de lípidos y carbohidratos, contribuyendo al desequilibrio energético</w:t>
      </w:r>
      <w:r w:rsidR="00401F0D" w:rsidRPr="003013DE">
        <w:rPr>
          <w:rFonts w:ascii="Times New Roman" w:hAnsi="Times New Roman" w:cs="Times New Roman"/>
          <w:bCs/>
          <w:sz w:val="24"/>
          <w:szCs w:val="24"/>
          <w:vertAlign w:val="superscript"/>
        </w:rPr>
        <w:t>36</w:t>
      </w:r>
      <w:r w:rsidRPr="003013DE">
        <w:rPr>
          <w:rFonts w:ascii="Times New Roman" w:hAnsi="Times New Roman" w:cs="Times New Roman"/>
          <w:bCs/>
          <w:sz w:val="24"/>
          <w:szCs w:val="24"/>
        </w:rPr>
        <w:t>.</w:t>
      </w:r>
    </w:p>
    <w:p w14:paraId="343DC292" w14:textId="200D7812" w:rsidR="00E016E0" w:rsidRPr="003013DE" w:rsidRDefault="00E016E0" w:rsidP="00401F0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lastRenderedPageBreak/>
        <w:t>Además, la reducción de bacterias productoras de ácidos grasos de cadena corta, como Faecalibacterium prausnitzii, disminuye la señalización antiinflamatoria y la sensibilidad a la insulina. El aumento de la permeabilidad intestinal permite la translocación de endotoxinas bacterianas al torrente sanguíneo, induciendo inflamación metabólica de bajo grado.</w:t>
      </w:r>
      <w:r w:rsidR="00401F0D"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Estos mecanismos refuerzan el papel de la disbiosis como un factor clave en la fisiopatología de enfermedades metabólicas crónicas, más allá de los determinantes genéticos tradicionales</w:t>
      </w:r>
      <w:r w:rsidR="00401F0D" w:rsidRPr="003013DE">
        <w:rPr>
          <w:rFonts w:ascii="Times New Roman" w:hAnsi="Times New Roman" w:cs="Times New Roman"/>
          <w:bCs/>
          <w:sz w:val="24"/>
          <w:szCs w:val="24"/>
          <w:vertAlign w:val="superscript"/>
        </w:rPr>
        <w:t>36</w:t>
      </w:r>
      <w:r w:rsidRPr="003013DE">
        <w:rPr>
          <w:rFonts w:ascii="Times New Roman" w:hAnsi="Times New Roman" w:cs="Times New Roman"/>
          <w:bCs/>
          <w:sz w:val="24"/>
          <w:szCs w:val="24"/>
        </w:rPr>
        <w:t>.</w:t>
      </w:r>
    </w:p>
    <w:p w14:paraId="0ABE1DCF" w14:textId="5B308032" w:rsidR="00E016E0" w:rsidRPr="003013DE" w:rsidRDefault="009C3A5F" w:rsidP="00FA61E0">
      <w:pPr>
        <w:pStyle w:val="Ttulo3"/>
        <w:rPr>
          <w:rFonts w:ascii="Times New Roman" w:hAnsi="Times New Roman" w:cs="Times New Roman"/>
          <w:b/>
          <w:color w:val="auto"/>
          <w:sz w:val="24"/>
          <w:szCs w:val="24"/>
        </w:rPr>
      </w:pPr>
      <w:bookmarkStart w:id="65" w:name="_Toc223177152"/>
      <w:r w:rsidRPr="003013DE">
        <w:rPr>
          <w:rFonts w:ascii="Times New Roman" w:hAnsi="Times New Roman" w:cs="Times New Roman"/>
          <w:b/>
          <w:color w:val="auto"/>
          <w:sz w:val="24"/>
          <w:szCs w:val="24"/>
        </w:rPr>
        <w:t xml:space="preserve">2.6.4 </w:t>
      </w:r>
      <w:r w:rsidR="00E016E0" w:rsidRPr="003013DE">
        <w:rPr>
          <w:rFonts w:ascii="Times New Roman" w:hAnsi="Times New Roman" w:cs="Times New Roman"/>
          <w:b/>
          <w:color w:val="auto"/>
          <w:sz w:val="24"/>
          <w:szCs w:val="24"/>
        </w:rPr>
        <w:t>Disbiosis, inflamación sistémica y neurodegeneración</w:t>
      </w:r>
      <w:bookmarkEnd w:id="65"/>
    </w:p>
    <w:p w14:paraId="6750C123" w14:textId="5DD4E709" w:rsidR="00E016E0" w:rsidRPr="003013DE" w:rsidRDefault="00E016E0" w:rsidP="00FE31E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relación entre disbiosis intestinal e inflamación crónica constituye un eje central en la comprensión de enfermedades neurodegenerativas. La disbiosis favorece la activación persistente del sistema inmunológico, con liberación de citocinas proinflamatorias que pueden atravesar la barrera hematoencefálica y afectar la función neuronal</w:t>
      </w:r>
      <w:r w:rsidR="00401F0D"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5C969558" w14:textId="0E39716A" w:rsidR="00E016E0" w:rsidRPr="003013DE" w:rsidRDefault="00E016E0" w:rsidP="009C3A5F">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enfermedades como el Alzheimer y el Parkinson, se han identificado perfiles específicos de disbiosis asociados con neuroinflamación, activación microglial y acumulación de proteínas mal plegadas. Estos hallazgos respaldan la hipótesis de que el intestino actúa como un modulador periférico de procesos neurodegenerativos</w:t>
      </w:r>
      <w:r w:rsidR="00401F0D"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56F8C346" w14:textId="152DEFBD" w:rsidR="009E0221" w:rsidRPr="003013DE" w:rsidRDefault="00E016E0" w:rsidP="009E0221">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inflamación sistémica inducida por la disbiosis también puede alterar la señalización del eje intestino–cerebro, afectando la plasticidad neuronal, la función cognitiva y el equilibrio emocional. Así, la disbiosis intestinal emerge como un componente relevante en la etiología multifactorial de las enfermedades neurodegenerativas</w:t>
      </w:r>
      <w:r w:rsidR="00401F0D"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09FCA3B6" w14:textId="3C31A0F6" w:rsidR="00852FDA" w:rsidRPr="003013DE" w:rsidRDefault="00852FDA" w:rsidP="00FA61E0">
      <w:pPr>
        <w:pStyle w:val="Ttulo2"/>
        <w:rPr>
          <w:rFonts w:ascii="Times New Roman" w:hAnsi="Times New Roman" w:cs="Times New Roman"/>
          <w:b/>
          <w:color w:val="auto"/>
          <w:sz w:val="24"/>
          <w:szCs w:val="24"/>
        </w:rPr>
      </w:pPr>
      <w:bookmarkStart w:id="66" w:name="_Toc223177153"/>
      <w:r w:rsidRPr="003013DE">
        <w:rPr>
          <w:rFonts w:ascii="Times New Roman" w:hAnsi="Times New Roman" w:cs="Times New Roman"/>
          <w:b/>
          <w:color w:val="auto"/>
          <w:sz w:val="24"/>
          <w:szCs w:val="24"/>
        </w:rPr>
        <w:t>2.7. Papel del microbiota intestinal en la neuroinflamación</w:t>
      </w:r>
      <w:bookmarkEnd w:id="66"/>
    </w:p>
    <w:p w14:paraId="02677D22" w14:textId="10E7D995" w:rsidR="00220B71" w:rsidRPr="003013DE" w:rsidRDefault="00220B71" w:rsidP="00FE31E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neuroinflamación es un proceso complejo caracterizado por la activación sostenida de células inmunes del sistema nervioso central, particularmente la microglía, y por la liberación de mediadores proinflamatorios que afectan la función y supervivencia neuronal. En los últimos años, el microbiota intestinal ha emergido como un modulador clave de este proceso, estableciendo un vínculo funcional entre la disbiosis intestinal, la inflamación sistémica de bajo grado y el deterioro neuronal progresivo</w:t>
      </w:r>
      <w:r w:rsidR="00835AF1" w:rsidRPr="003013DE">
        <w:rPr>
          <w:rFonts w:ascii="Times New Roman" w:hAnsi="Times New Roman" w:cs="Times New Roman"/>
          <w:bCs/>
          <w:sz w:val="24"/>
          <w:szCs w:val="24"/>
          <w:vertAlign w:val="superscript"/>
        </w:rPr>
        <w:t>49</w:t>
      </w:r>
      <w:r w:rsidRPr="003013DE">
        <w:rPr>
          <w:rFonts w:ascii="Times New Roman" w:hAnsi="Times New Roman" w:cs="Times New Roman"/>
          <w:bCs/>
          <w:sz w:val="24"/>
          <w:szCs w:val="24"/>
        </w:rPr>
        <w:t>.</w:t>
      </w:r>
    </w:p>
    <w:p w14:paraId="248E60D4" w14:textId="00938A17" w:rsidR="00220B71" w:rsidRPr="003013DE" w:rsidRDefault="00220B71" w:rsidP="00220B71">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El eje microbiota–intestino–cerebro constituye la principal vía mediante la cual las alteraciones microbianas periféricas pueden influir sobre la homeostasis inmunológica </w:t>
      </w:r>
      <w:r w:rsidRPr="003013DE">
        <w:rPr>
          <w:rFonts w:ascii="Times New Roman" w:hAnsi="Times New Roman" w:cs="Times New Roman"/>
          <w:bCs/>
          <w:sz w:val="24"/>
          <w:szCs w:val="24"/>
        </w:rPr>
        <w:lastRenderedPageBreak/>
        <w:t>cerebral. La evidencia actual indica que la disbiosis intestinal no solo precede, sino que también amplifica los procesos neuroinflamatorios, contribuyendo al desarrollo y progresión de enfermedades neurodegenerativas y trastornos cognitivos</w:t>
      </w:r>
      <w:r w:rsidR="00835AF1" w:rsidRPr="003013DE">
        <w:rPr>
          <w:rFonts w:ascii="Times New Roman" w:hAnsi="Times New Roman" w:cs="Times New Roman"/>
          <w:bCs/>
          <w:sz w:val="24"/>
          <w:szCs w:val="24"/>
          <w:vertAlign w:val="superscript"/>
        </w:rPr>
        <w:t>49</w:t>
      </w:r>
      <w:r w:rsidRPr="003013DE">
        <w:rPr>
          <w:rFonts w:ascii="Times New Roman" w:hAnsi="Times New Roman" w:cs="Times New Roman"/>
          <w:bCs/>
          <w:sz w:val="24"/>
          <w:szCs w:val="24"/>
        </w:rPr>
        <w:t>.</w:t>
      </w:r>
    </w:p>
    <w:p w14:paraId="5878D61F" w14:textId="69A3695E" w:rsidR="00220B71" w:rsidRPr="003013DE" w:rsidRDefault="00B813D2" w:rsidP="00FA61E0">
      <w:pPr>
        <w:pStyle w:val="Ttulo3"/>
        <w:rPr>
          <w:rFonts w:ascii="Times New Roman" w:hAnsi="Times New Roman" w:cs="Times New Roman"/>
          <w:b/>
          <w:color w:val="auto"/>
          <w:sz w:val="24"/>
          <w:szCs w:val="24"/>
        </w:rPr>
      </w:pPr>
      <w:bookmarkStart w:id="67" w:name="_Toc223177154"/>
      <w:r w:rsidRPr="003013DE">
        <w:rPr>
          <w:rFonts w:ascii="Times New Roman" w:hAnsi="Times New Roman" w:cs="Times New Roman"/>
          <w:b/>
          <w:color w:val="auto"/>
          <w:sz w:val="24"/>
          <w:szCs w:val="24"/>
        </w:rPr>
        <w:t xml:space="preserve">2.7.1 </w:t>
      </w:r>
      <w:r w:rsidR="00220B71" w:rsidRPr="003013DE">
        <w:rPr>
          <w:rFonts w:ascii="Times New Roman" w:hAnsi="Times New Roman" w:cs="Times New Roman"/>
          <w:b/>
          <w:color w:val="auto"/>
          <w:sz w:val="24"/>
          <w:szCs w:val="24"/>
        </w:rPr>
        <w:t>Disbiosis intestinal como desencadenante de inflamación sistémica de bajo grado</w:t>
      </w:r>
      <w:bookmarkEnd w:id="67"/>
    </w:p>
    <w:p w14:paraId="6120D4BC" w14:textId="2C69C63E" w:rsidR="00220B71" w:rsidRPr="003013DE" w:rsidRDefault="00220B71" w:rsidP="00FE31E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se asocia con una alteración de la integridad de la barrera epitelial intestinal, fenómeno conocido como aumento de la permeabilidad intestinal o leaky gut. Esta condición facilita la translocación de componentes microbianos, como el lipopolisacárido (LPS), desde la luz intestinal hacia la circulación sistémica, induciendo una respuesta inflamatoria crónica de bajo grado</w:t>
      </w:r>
      <w:r w:rsidR="00835AF1"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3E3B4EF4" w14:textId="15B6FB8B" w:rsidR="00220B71" w:rsidRPr="003013DE" w:rsidRDefault="00220B71" w:rsidP="00B813D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LPS, derivado de bacterias gramnegativas, actúa como un potente activador del sistema inmunológico innato mediante la unión a receptores tipo Toll, especialmente TLR4. Esta activación desencadena cascadas de señalización que promueven la liberación de citocinas proinflamatorias como TNF-α, IL-1β e IL-6, las cuales pueden ejercer efectos sistémicos persistentes</w:t>
      </w:r>
      <w:r w:rsidR="004D554D"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0450AF66" w14:textId="4794BA22" w:rsidR="00220B71" w:rsidRPr="003013DE" w:rsidRDefault="00220B71" w:rsidP="00220B71">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inflamación sistémica de bajo grado inducida por la disbiosis ha sido ampliamente asociada con enfermedades metabólicas, cardiovasculares y neurodegenerativas. En el contexto neurológico, estas citocinas circulantes pueden afectar la permeabilidad de la barrera hematoencefálica y facilitar la entrada de señales inflamatorias al sistema nervioso central, creando un entorno propicio para la neuroinflamación</w:t>
      </w:r>
      <w:r w:rsidR="004D554D" w:rsidRPr="003013DE">
        <w:rPr>
          <w:rFonts w:ascii="Times New Roman" w:hAnsi="Times New Roman" w:cs="Times New Roman"/>
          <w:bCs/>
          <w:sz w:val="24"/>
          <w:szCs w:val="24"/>
          <w:vertAlign w:val="superscript"/>
        </w:rPr>
        <w:t>54</w:t>
      </w:r>
      <w:r w:rsidRPr="003013DE">
        <w:rPr>
          <w:rFonts w:ascii="Times New Roman" w:hAnsi="Times New Roman" w:cs="Times New Roman"/>
          <w:bCs/>
          <w:sz w:val="24"/>
          <w:szCs w:val="24"/>
        </w:rPr>
        <w:t>.</w:t>
      </w:r>
    </w:p>
    <w:p w14:paraId="3CFEE448" w14:textId="6D84701B" w:rsidR="00220B71" w:rsidRPr="003013DE" w:rsidRDefault="00B813D2" w:rsidP="00FA61E0">
      <w:pPr>
        <w:pStyle w:val="Ttulo3"/>
        <w:rPr>
          <w:rFonts w:ascii="Times New Roman" w:hAnsi="Times New Roman" w:cs="Times New Roman"/>
          <w:b/>
          <w:color w:val="auto"/>
          <w:sz w:val="24"/>
          <w:szCs w:val="24"/>
        </w:rPr>
      </w:pPr>
      <w:bookmarkStart w:id="68" w:name="_Toc223177155"/>
      <w:r w:rsidRPr="003013DE">
        <w:rPr>
          <w:rFonts w:ascii="Times New Roman" w:hAnsi="Times New Roman" w:cs="Times New Roman"/>
          <w:b/>
          <w:color w:val="auto"/>
          <w:sz w:val="24"/>
          <w:szCs w:val="24"/>
        </w:rPr>
        <w:t xml:space="preserve">2.7.2 </w:t>
      </w:r>
      <w:r w:rsidR="00220B71" w:rsidRPr="003013DE">
        <w:rPr>
          <w:rFonts w:ascii="Times New Roman" w:hAnsi="Times New Roman" w:cs="Times New Roman"/>
          <w:b/>
          <w:color w:val="auto"/>
          <w:sz w:val="24"/>
          <w:szCs w:val="24"/>
        </w:rPr>
        <w:t>Activación microglial mediada por señales derivadas del microbiota</w:t>
      </w:r>
      <w:bookmarkEnd w:id="68"/>
    </w:p>
    <w:p w14:paraId="24C653EC" w14:textId="600D8F73" w:rsidR="00220B71" w:rsidRPr="003013DE" w:rsidRDefault="00220B71" w:rsidP="00FE31E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microglía es la principal célula inmunitaria residente del sistema nervioso central y desempeña un papel fundamental en la vigilancia inmunológica, la plasticidad sináptica y la eliminación de desechos celulares. En condiciones fisiológicas, la microglía mantiene un fenotipo homeostático; sin embargo, señales inflamatorias persistentes pueden inducir su activación patológica</w:t>
      </w:r>
      <w:r w:rsidR="004D554D" w:rsidRPr="003013DE">
        <w:rPr>
          <w:rFonts w:ascii="Times New Roman" w:hAnsi="Times New Roman" w:cs="Times New Roman"/>
          <w:bCs/>
          <w:sz w:val="24"/>
          <w:szCs w:val="24"/>
          <w:vertAlign w:val="superscript"/>
        </w:rPr>
        <w:t>54</w:t>
      </w:r>
      <w:r w:rsidRPr="003013DE">
        <w:rPr>
          <w:rFonts w:ascii="Times New Roman" w:hAnsi="Times New Roman" w:cs="Times New Roman"/>
          <w:bCs/>
          <w:sz w:val="24"/>
          <w:szCs w:val="24"/>
        </w:rPr>
        <w:t>.</w:t>
      </w:r>
    </w:p>
    <w:p w14:paraId="573D13B5" w14:textId="09F28C60" w:rsidR="00220B71" w:rsidRPr="003013DE" w:rsidRDefault="00220B71" w:rsidP="00B813D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Estudios experimentales han demostrado que el microbiota intestinal regula el desarrollo, maduración y función de la microglía. Modelos animales libres de microbiota presentan microglía inmadura y disfuncional, lo que evidencia la necesidad de señales </w:t>
      </w:r>
      <w:r w:rsidRPr="003013DE">
        <w:rPr>
          <w:rFonts w:ascii="Times New Roman" w:hAnsi="Times New Roman" w:cs="Times New Roman"/>
          <w:bCs/>
          <w:sz w:val="24"/>
          <w:szCs w:val="24"/>
        </w:rPr>
        <w:lastRenderedPageBreak/>
        <w:t>microbianas para el adecuado funcionamiento inmunológico cerebral. La disbiosis, por el contrario, favorece un estado de activación microglial crónica</w:t>
      </w:r>
      <w:r w:rsidR="004D554D"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5D29FBCA" w14:textId="5043155E" w:rsidR="00220B71" w:rsidRPr="003013DE" w:rsidRDefault="00220B71" w:rsidP="00220B71">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activación microglial inducida por disbiosis se caracteriza por un aumento en la producción de citocinas proinflamatorias, especies reactivas de oxígeno y óxido nítrico, lo que contribuye al daño neuronal y a la disfunción sináptica. Este estado inflamatorio sostenido puede alterar procesos de neurogénesis y plasticidad, afectando directamente la función cognitiva</w:t>
      </w:r>
      <w:r w:rsidR="004D554D"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466160C3" w14:textId="40E2E6A0" w:rsidR="00220B71" w:rsidRPr="003013DE" w:rsidRDefault="00B813D2" w:rsidP="00FA61E0">
      <w:pPr>
        <w:pStyle w:val="Ttulo3"/>
        <w:rPr>
          <w:rFonts w:ascii="Times New Roman" w:hAnsi="Times New Roman" w:cs="Times New Roman"/>
          <w:b/>
          <w:color w:val="auto"/>
          <w:sz w:val="24"/>
          <w:szCs w:val="24"/>
        </w:rPr>
      </w:pPr>
      <w:bookmarkStart w:id="69" w:name="_Toc223177156"/>
      <w:r w:rsidRPr="003013DE">
        <w:rPr>
          <w:rFonts w:ascii="Times New Roman" w:hAnsi="Times New Roman" w:cs="Times New Roman"/>
          <w:b/>
          <w:color w:val="auto"/>
          <w:sz w:val="24"/>
          <w:szCs w:val="24"/>
        </w:rPr>
        <w:t xml:space="preserve">2.7.3 </w:t>
      </w:r>
      <w:r w:rsidR="00220B71" w:rsidRPr="003013DE">
        <w:rPr>
          <w:rFonts w:ascii="Times New Roman" w:hAnsi="Times New Roman" w:cs="Times New Roman"/>
          <w:b/>
          <w:color w:val="auto"/>
          <w:sz w:val="24"/>
          <w:szCs w:val="24"/>
        </w:rPr>
        <w:t>Papel de los metabolitos microbianos en la regulación neuroinflamatoria</w:t>
      </w:r>
      <w:bookmarkEnd w:id="69"/>
    </w:p>
    <w:p w14:paraId="7DE8B4F5" w14:textId="28435B5D" w:rsidR="00220B71" w:rsidRPr="003013DE" w:rsidRDefault="00220B71" w:rsidP="00FE31E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metabolitos derivados del microbiota intestinal, particularmente los ácidos grasos de cadena corta (AGCC) como el butirato, el propionato y el acetato, desempeñan un papel crucial en la modulación de la respuesta inflamatoria tanto periférica como central. En condiciones de eubiosis, estos metabolitos ejercen efectos antiinflamatorios y neuroprotectores</w:t>
      </w:r>
      <w:r w:rsidR="004D554D" w:rsidRPr="003013DE">
        <w:rPr>
          <w:rFonts w:ascii="Times New Roman" w:hAnsi="Times New Roman" w:cs="Times New Roman"/>
          <w:bCs/>
          <w:sz w:val="24"/>
          <w:szCs w:val="24"/>
          <w:vertAlign w:val="superscript"/>
        </w:rPr>
        <w:t>56</w:t>
      </w:r>
      <w:r w:rsidRPr="003013DE">
        <w:rPr>
          <w:rFonts w:ascii="Times New Roman" w:hAnsi="Times New Roman" w:cs="Times New Roman"/>
          <w:bCs/>
          <w:sz w:val="24"/>
          <w:szCs w:val="24"/>
        </w:rPr>
        <w:t>.</w:t>
      </w:r>
    </w:p>
    <w:p w14:paraId="6B0FE668" w14:textId="586118A4" w:rsidR="00220B71" w:rsidRPr="003013DE" w:rsidRDefault="00220B71" w:rsidP="004D554D">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butirato, en particular, ha demostrado inhibir la activación microglial excesiva mediante la regulación epigenética de la expresión génica y la supresión de vías proinflamatorias como NF-κB. Además, promueve la integridad de la barrera hematoencefálica, limitando la entrada de mediadores inflamatorios al cerebro.</w:t>
      </w:r>
      <w:r w:rsidR="004D554D"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En estados de disbiosis, la reducción de bacterias productoras de AGCC conduce a una disminución de estos efectos protectores, favoreciendo un entorno proinflamatorio. Esta alteración metabólica contribuye a la amplificación de la neuroinflamación y al deterioro progresivo de la función neuronal</w:t>
      </w:r>
      <w:r w:rsidR="004D554D" w:rsidRPr="003013DE">
        <w:rPr>
          <w:rFonts w:ascii="Times New Roman" w:hAnsi="Times New Roman" w:cs="Times New Roman"/>
          <w:bCs/>
          <w:sz w:val="24"/>
          <w:szCs w:val="24"/>
          <w:vertAlign w:val="superscript"/>
        </w:rPr>
        <w:t>56</w:t>
      </w:r>
      <w:r w:rsidRPr="003013DE">
        <w:rPr>
          <w:rFonts w:ascii="Times New Roman" w:hAnsi="Times New Roman" w:cs="Times New Roman"/>
          <w:bCs/>
          <w:sz w:val="24"/>
          <w:szCs w:val="24"/>
        </w:rPr>
        <w:t>.</w:t>
      </w:r>
    </w:p>
    <w:p w14:paraId="34BCE97F" w14:textId="13A70236" w:rsidR="00220B71" w:rsidRPr="003013DE" w:rsidRDefault="00B813D2" w:rsidP="00FA61E0">
      <w:pPr>
        <w:pStyle w:val="Ttulo3"/>
        <w:rPr>
          <w:rFonts w:ascii="Times New Roman" w:hAnsi="Times New Roman" w:cs="Times New Roman"/>
          <w:b/>
          <w:color w:val="auto"/>
          <w:sz w:val="24"/>
          <w:szCs w:val="24"/>
        </w:rPr>
      </w:pPr>
      <w:bookmarkStart w:id="70" w:name="_Toc223177157"/>
      <w:r w:rsidRPr="003013DE">
        <w:rPr>
          <w:rFonts w:ascii="Times New Roman" w:hAnsi="Times New Roman" w:cs="Times New Roman"/>
          <w:b/>
          <w:color w:val="auto"/>
          <w:sz w:val="24"/>
          <w:szCs w:val="24"/>
        </w:rPr>
        <w:t xml:space="preserve">2.7.4 </w:t>
      </w:r>
      <w:r w:rsidR="00220B71" w:rsidRPr="003013DE">
        <w:rPr>
          <w:rFonts w:ascii="Times New Roman" w:hAnsi="Times New Roman" w:cs="Times New Roman"/>
          <w:b/>
          <w:color w:val="auto"/>
          <w:sz w:val="24"/>
          <w:szCs w:val="24"/>
        </w:rPr>
        <w:t>Neuroinflamación, disbiosis y deterioro neuronal</w:t>
      </w:r>
      <w:bookmarkEnd w:id="70"/>
    </w:p>
    <w:p w14:paraId="6737857E" w14:textId="0224BC8C" w:rsidR="00220B71" w:rsidRPr="003013DE" w:rsidRDefault="00220B71" w:rsidP="002148F6">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neuroinflamación crónica inducida por la disbiosis intestinal se ha vinculado estrechamente con el deterioro neuronal observado en enfermedades neurodegenerativas como la enfermedad de Alzheimer y la enfermedad de Parkinson. En estos trastornos, la activación microglial persistente favorece la acumulación de proteínas mal plegadas y la pérdida sináptica</w:t>
      </w:r>
      <w:r w:rsidR="004D554D" w:rsidRPr="003013DE">
        <w:rPr>
          <w:rFonts w:ascii="Times New Roman" w:hAnsi="Times New Roman" w:cs="Times New Roman"/>
          <w:bCs/>
          <w:sz w:val="24"/>
          <w:szCs w:val="24"/>
          <w:vertAlign w:val="superscript"/>
        </w:rPr>
        <w:t>57</w:t>
      </w:r>
      <w:r w:rsidRPr="003013DE">
        <w:rPr>
          <w:rFonts w:ascii="Times New Roman" w:hAnsi="Times New Roman" w:cs="Times New Roman"/>
          <w:bCs/>
          <w:sz w:val="24"/>
          <w:szCs w:val="24"/>
        </w:rPr>
        <w:t>.</w:t>
      </w:r>
    </w:p>
    <w:p w14:paraId="784AC6D9" w14:textId="0515E638" w:rsidR="00415AA9" w:rsidRPr="003013DE" w:rsidRDefault="00220B71" w:rsidP="00343B6B">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La evidencia sugiere que la inflamación sistémica de bajo grado actúa como un factor amplificador del daño neuronal, interactuando con procesos genéticos y ambientales. La </w:t>
      </w:r>
      <w:r w:rsidRPr="003013DE">
        <w:rPr>
          <w:rFonts w:ascii="Times New Roman" w:hAnsi="Times New Roman" w:cs="Times New Roman"/>
          <w:bCs/>
          <w:sz w:val="24"/>
          <w:szCs w:val="24"/>
        </w:rPr>
        <w:lastRenderedPageBreak/>
        <w:t>disbiosis intestinal puede preceder a los síntomas clínicos, lo que refuerza su potencial papel como biomarcador temprano de neurodegeneración.</w:t>
      </w:r>
      <w:r w:rsidR="00343B6B"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En conjunto, estos hallazgos posicionan al microbiota intestinal como un modulador clave de la neuroinflamación y del deterioro neuronal, abriendo nuevas perspectivas terapéuticas centradas en la modulación microbiana para prevenir o atenuar la progresión de enfermedades neurológicas</w:t>
      </w:r>
      <w:r w:rsidR="004D554D" w:rsidRPr="003013DE">
        <w:rPr>
          <w:rFonts w:ascii="Times New Roman" w:hAnsi="Times New Roman" w:cs="Times New Roman"/>
          <w:bCs/>
          <w:sz w:val="24"/>
          <w:szCs w:val="24"/>
          <w:vertAlign w:val="superscript"/>
        </w:rPr>
        <w:t>57</w:t>
      </w:r>
      <w:r w:rsidRPr="003013DE">
        <w:rPr>
          <w:rFonts w:ascii="Times New Roman" w:hAnsi="Times New Roman" w:cs="Times New Roman"/>
          <w:bCs/>
          <w:sz w:val="24"/>
          <w:szCs w:val="24"/>
        </w:rPr>
        <w:t>.</w:t>
      </w:r>
    </w:p>
    <w:p w14:paraId="62CA6C70" w14:textId="5D21E493" w:rsidR="00852FDA" w:rsidRPr="003013DE" w:rsidRDefault="00852FDA" w:rsidP="00FA61E0">
      <w:pPr>
        <w:pStyle w:val="Ttulo2"/>
        <w:rPr>
          <w:rFonts w:ascii="Times New Roman" w:hAnsi="Times New Roman" w:cs="Times New Roman"/>
          <w:b/>
          <w:color w:val="auto"/>
          <w:sz w:val="24"/>
          <w:szCs w:val="24"/>
        </w:rPr>
      </w:pPr>
      <w:bookmarkStart w:id="71" w:name="_Toc223177158"/>
      <w:r w:rsidRPr="003013DE">
        <w:rPr>
          <w:rFonts w:ascii="Times New Roman" w:hAnsi="Times New Roman" w:cs="Times New Roman"/>
          <w:b/>
          <w:color w:val="auto"/>
          <w:sz w:val="24"/>
          <w:szCs w:val="24"/>
        </w:rPr>
        <w:t>2.8. Relación entre microbiota intestinal y enfermedad de Alzheimer</w:t>
      </w:r>
      <w:bookmarkEnd w:id="71"/>
    </w:p>
    <w:p w14:paraId="44CF80DD" w14:textId="4333DDE6" w:rsidR="00A66149" w:rsidRPr="003013DE" w:rsidRDefault="00A66149" w:rsidP="002148F6">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enfermedad de Alzheimer (EA) es un trastorno neurodegenerativo progresivo caracterizado por el deterioro cognitivo, la pérdida de memoria y alteraciones conductuales, asociado histopatológicamente con la acumulación extracelular de placas de β-amiloide (Aβ), ovillos neurofibrilares de proteína tau hiperfosforilada y neuroinflamación crónica. En los últimos años, la investigación ha identificado al microbiota intestinal como un modulador periférico relevante en la fisiopatología de la EA, ampliando el enfoque clásico centrado exclusivamente en el sistema nervioso central</w:t>
      </w:r>
      <w:r w:rsidR="00F87759" w:rsidRPr="003013DE">
        <w:rPr>
          <w:rFonts w:ascii="Times New Roman" w:hAnsi="Times New Roman" w:cs="Times New Roman"/>
          <w:bCs/>
          <w:sz w:val="24"/>
          <w:szCs w:val="24"/>
          <w:vertAlign w:val="superscript"/>
        </w:rPr>
        <w:t>58</w:t>
      </w:r>
      <w:r w:rsidRPr="003013DE">
        <w:rPr>
          <w:rFonts w:ascii="Times New Roman" w:hAnsi="Times New Roman" w:cs="Times New Roman"/>
          <w:bCs/>
          <w:sz w:val="24"/>
          <w:szCs w:val="24"/>
        </w:rPr>
        <w:t>.</w:t>
      </w:r>
    </w:p>
    <w:p w14:paraId="678F75E0" w14:textId="734AB9D1" w:rsidR="00A66149" w:rsidRPr="003013DE" w:rsidRDefault="00A66149" w:rsidP="00A66149">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se ha propuesto como un factor contribuyente tanto en el inicio como en la progresión de la EA, a través de mecanismos que incluyen inflamación sistémica de bajo grado, alteración de la barrera hematoencefálica, activación microglial persistente y cambios en la producción de metabolitos neuroactivos. Estos procesos refuerzan la hipótesis de que el intestino puede actuar como un eje regulador del envejecimiento cerebral patológico</w:t>
      </w:r>
      <w:r w:rsidR="00F87759" w:rsidRPr="003013DE">
        <w:rPr>
          <w:rFonts w:ascii="Times New Roman" w:hAnsi="Times New Roman" w:cs="Times New Roman"/>
          <w:bCs/>
          <w:sz w:val="24"/>
          <w:szCs w:val="24"/>
          <w:vertAlign w:val="superscript"/>
        </w:rPr>
        <w:t>58</w:t>
      </w:r>
      <w:r w:rsidRPr="003013DE">
        <w:rPr>
          <w:rFonts w:ascii="Times New Roman" w:hAnsi="Times New Roman" w:cs="Times New Roman"/>
          <w:bCs/>
          <w:sz w:val="24"/>
          <w:szCs w:val="24"/>
        </w:rPr>
        <w:t>.</w:t>
      </w:r>
    </w:p>
    <w:p w14:paraId="6329D36F" w14:textId="3EEE9370" w:rsidR="00A66149" w:rsidRPr="003013DE" w:rsidRDefault="00F6400A" w:rsidP="00FA61E0">
      <w:pPr>
        <w:pStyle w:val="Ttulo3"/>
        <w:rPr>
          <w:rFonts w:ascii="Times New Roman" w:hAnsi="Times New Roman" w:cs="Times New Roman"/>
          <w:b/>
          <w:color w:val="auto"/>
          <w:sz w:val="24"/>
          <w:szCs w:val="24"/>
        </w:rPr>
      </w:pPr>
      <w:bookmarkStart w:id="72" w:name="_Toc223177159"/>
      <w:r w:rsidRPr="003013DE">
        <w:rPr>
          <w:rFonts w:ascii="Times New Roman" w:hAnsi="Times New Roman" w:cs="Times New Roman"/>
          <w:b/>
          <w:color w:val="auto"/>
          <w:sz w:val="24"/>
          <w:szCs w:val="24"/>
        </w:rPr>
        <w:t xml:space="preserve">2.8.1 </w:t>
      </w:r>
      <w:r w:rsidR="00A66149" w:rsidRPr="003013DE">
        <w:rPr>
          <w:rFonts w:ascii="Times New Roman" w:hAnsi="Times New Roman" w:cs="Times New Roman"/>
          <w:b/>
          <w:color w:val="auto"/>
          <w:sz w:val="24"/>
          <w:szCs w:val="24"/>
        </w:rPr>
        <w:t>Alteraciones del microbiota intestinal en la enfermedad de Alzheimer</w:t>
      </w:r>
      <w:bookmarkEnd w:id="72"/>
    </w:p>
    <w:p w14:paraId="02F0A457" w14:textId="431C8B3E" w:rsidR="00A66149" w:rsidRPr="003013DE" w:rsidRDefault="00A66149" w:rsidP="002148F6">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Estudios observacionales en humanos han demostrado que los pacientes con EA presentan una composición microbiana intestinal significativamente distinta en comparación con adultos cognitivamente sanos. Estas alteraciones incluyen una reducción de la diversidad microbiana y una disminución de bacterias con propiedades antiinflamatorias, junto con un aumento de microorganismos proinflamatorios</w:t>
      </w:r>
      <w:r w:rsidR="00F87759" w:rsidRPr="003013DE">
        <w:rPr>
          <w:rFonts w:ascii="Times New Roman" w:hAnsi="Times New Roman" w:cs="Times New Roman"/>
          <w:bCs/>
          <w:sz w:val="24"/>
          <w:szCs w:val="24"/>
          <w:vertAlign w:val="superscript"/>
        </w:rPr>
        <w:t>59</w:t>
      </w:r>
      <w:r w:rsidRPr="003013DE">
        <w:rPr>
          <w:rFonts w:ascii="Times New Roman" w:hAnsi="Times New Roman" w:cs="Times New Roman"/>
          <w:bCs/>
          <w:sz w:val="24"/>
          <w:szCs w:val="24"/>
        </w:rPr>
        <w:t>.</w:t>
      </w:r>
    </w:p>
    <w:p w14:paraId="1C1D060B" w14:textId="32F66A6F" w:rsidR="00A66149" w:rsidRPr="003013DE" w:rsidRDefault="00A66149" w:rsidP="00320F43">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Se ha descrito una menor abundancia de bacterias productoras de ácidos grasos de cadena corta, como Faecalibacterium y Eubacterium, y un incremento de géneros asociados con inflamación sistémica, como Escherichia/Shigella. Este perfil microbiano favorece un </w:t>
      </w:r>
      <w:r w:rsidRPr="003013DE">
        <w:rPr>
          <w:rFonts w:ascii="Times New Roman" w:hAnsi="Times New Roman" w:cs="Times New Roman"/>
          <w:bCs/>
          <w:sz w:val="24"/>
          <w:szCs w:val="24"/>
        </w:rPr>
        <w:lastRenderedPageBreak/>
        <w:t>entorno proinflamatorio y una menor producción de metabolitos neuroprotectores, lo que puede impactar negativamente sobre la función cerebral</w:t>
      </w:r>
      <w:r w:rsidR="00F87759" w:rsidRPr="003013DE">
        <w:rPr>
          <w:rFonts w:ascii="Times New Roman" w:hAnsi="Times New Roman" w:cs="Times New Roman"/>
          <w:bCs/>
          <w:sz w:val="24"/>
          <w:szCs w:val="24"/>
          <w:vertAlign w:val="superscript"/>
        </w:rPr>
        <w:t>59</w:t>
      </w:r>
      <w:r w:rsidRPr="003013DE">
        <w:rPr>
          <w:rFonts w:ascii="Times New Roman" w:hAnsi="Times New Roman" w:cs="Times New Roman"/>
          <w:bCs/>
          <w:sz w:val="24"/>
          <w:szCs w:val="24"/>
        </w:rPr>
        <w:t>.</w:t>
      </w:r>
    </w:p>
    <w:p w14:paraId="207D98C8" w14:textId="59BA4882" w:rsidR="00A66149" w:rsidRPr="003013DE" w:rsidRDefault="00A66149" w:rsidP="00A66149">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evidencia sugiere que estas alteraciones del microbiota no son únicamente consecuencia del envejecimiento o de cambios dietéticos, sino que se asocian de manera específica con el deterioro cognitivo y la gravedad de la EA. Esto ha llevado a proponer el microbioma intestinal como un posible biomarcador periférico temprano de la enfermedad</w:t>
      </w:r>
      <w:r w:rsidR="003B034A" w:rsidRPr="003013DE">
        <w:rPr>
          <w:rFonts w:ascii="Times New Roman" w:hAnsi="Times New Roman" w:cs="Times New Roman"/>
          <w:bCs/>
          <w:sz w:val="24"/>
          <w:szCs w:val="24"/>
          <w:vertAlign w:val="superscript"/>
        </w:rPr>
        <w:t>60</w:t>
      </w:r>
      <w:r w:rsidRPr="003013DE">
        <w:rPr>
          <w:rFonts w:ascii="Times New Roman" w:hAnsi="Times New Roman" w:cs="Times New Roman"/>
          <w:bCs/>
          <w:sz w:val="24"/>
          <w:szCs w:val="24"/>
        </w:rPr>
        <w:t>.</w:t>
      </w:r>
    </w:p>
    <w:p w14:paraId="42967B48" w14:textId="54659595" w:rsidR="00A66149" w:rsidRPr="003013DE" w:rsidRDefault="00320F43" w:rsidP="00FA61E0">
      <w:pPr>
        <w:pStyle w:val="Ttulo3"/>
        <w:rPr>
          <w:rFonts w:ascii="Times New Roman" w:hAnsi="Times New Roman" w:cs="Times New Roman"/>
          <w:b/>
          <w:color w:val="auto"/>
          <w:sz w:val="24"/>
          <w:szCs w:val="24"/>
        </w:rPr>
      </w:pPr>
      <w:bookmarkStart w:id="73" w:name="_Toc223177160"/>
      <w:r w:rsidRPr="003013DE">
        <w:rPr>
          <w:rFonts w:ascii="Times New Roman" w:hAnsi="Times New Roman" w:cs="Times New Roman"/>
          <w:b/>
          <w:color w:val="auto"/>
          <w:sz w:val="24"/>
          <w:szCs w:val="24"/>
        </w:rPr>
        <w:t xml:space="preserve">2.8.2 </w:t>
      </w:r>
      <w:r w:rsidR="00A66149" w:rsidRPr="003013DE">
        <w:rPr>
          <w:rFonts w:ascii="Times New Roman" w:hAnsi="Times New Roman" w:cs="Times New Roman"/>
          <w:b/>
          <w:color w:val="auto"/>
          <w:sz w:val="24"/>
          <w:szCs w:val="24"/>
        </w:rPr>
        <w:t>Microbiota intestinal y acumulación de β-amiloide</w:t>
      </w:r>
      <w:bookmarkEnd w:id="73"/>
    </w:p>
    <w:p w14:paraId="1588177D" w14:textId="74A5E90B" w:rsidR="00A66149" w:rsidRPr="003013DE" w:rsidRDefault="00A66149" w:rsidP="002148F6">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Uno de los hallazgos más relevantes en la relación entre microbiota intestinal y EA es su influencia sobre la acumulación de β-amiloide. Estudios experimentales han demostrado que la disbiosis puede promover la deposición cerebral de Aβ mediante la activación de vías inflamatorias sistémicas y centrales.</w:t>
      </w:r>
      <w:r w:rsidR="00C22F86"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Algunas bacterias intestinales producen amiloides bacterianos, proteínas estructuralmente similares al β-amiloide humano, que pueden inducir reacciones cruzadas del sistema inmunológico. Esta exposición crónica a amiloides bacterianos podría favorecer la activación microglial y potenciar la agregación de Aβ en el cerebro</w:t>
      </w:r>
      <w:r w:rsidR="003B034A" w:rsidRPr="003013DE">
        <w:rPr>
          <w:rFonts w:ascii="Times New Roman" w:hAnsi="Times New Roman" w:cs="Times New Roman"/>
          <w:bCs/>
          <w:sz w:val="24"/>
          <w:szCs w:val="24"/>
          <w:vertAlign w:val="superscript"/>
        </w:rPr>
        <w:t>61</w:t>
      </w:r>
      <w:r w:rsidRPr="003013DE">
        <w:rPr>
          <w:rFonts w:ascii="Times New Roman" w:hAnsi="Times New Roman" w:cs="Times New Roman"/>
          <w:bCs/>
          <w:sz w:val="24"/>
          <w:szCs w:val="24"/>
        </w:rPr>
        <w:t>.</w:t>
      </w:r>
    </w:p>
    <w:p w14:paraId="211B23F8" w14:textId="3FCD2667" w:rsidR="00FA61E0" w:rsidRPr="002148F6" w:rsidRDefault="00A66149" w:rsidP="002148F6">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Además, la inflamación sistémica inducida por productos microbianos, como el lipopolisacárido, se ha asociado con un aumento de la producción y una disminución del aclaramiento del β-amiloide. Estos mecanismos refuerzan la hipótesis de que la disbiosis intestinal contribuye activamente a la patogénesis amiloide de la EA</w:t>
      </w:r>
      <w:r w:rsidR="003B034A" w:rsidRPr="003013DE">
        <w:rPr>
          <w:rFonts w:ascii="Times New Roman" w:hAnsi="Times New Roman" w:cs="Times New Roman"/>
          <w:bCs/>
          <w:sz w:val="24"/>
          <w:szCs w:val="24"/>
          <w:vertAlign w:val="superscript"/>
        </w:rPr>
        <w:t>61</w:t>
      </w:r>
      <w:r w:rsidRPr="003013DE">
        <w:rPr>
          <w:rFonts w:ascii="Times New Roman" w:hAnsi="Times New Roman" w:cs="Times New Roman"/>
          <w:bCs/>
          <w:sz w:val="24"/>
          <w:szCs w:val="24"/>
        </w:rPr>
        <w:t>.</w:t>
      </w:r>
    </w:p>
    <w:p w14:paraId="70FAA1B6" w14:textId="232D6F7F" w:rsidR="00A66149" w:rsidRPr="003013DE" w:rsidRDefault="00C22F86" w:rsidP="00FA61E0">
      <w:pPr>
        <w:pStyle w:val="Ttulo3"/>
        <w:rPr>
          <w:rFonts w:ascii="Times New Roman" w:hAnsi="Times New Roman" w:cs="Times New Roman"/>
          <w:b/>
          <w:color w:val="auto"/>
          <w:sz w:val="24"/>
          <w:szCs w:val="24"/>
        </w:rPr>
      </w:pPr>
      <w:bookmarkStart w:id="74" w:name="_Toc223177161"/>
      <w:r w:rsidRPr="003013DE">
        <w:rPr>
          <w:rFonts w:ascii="Times New Roman" w:hAnsi="Times New Roman" w:cs="Times New Roman"/>
          <w:b/>
          <w:color w:val="auto"/>
          <w:sz w:val="24"/>
          <w:szCs w:val="24"/>
        </w:rPr>
        <w:t xml:space="preserve">2.8.3 </w:t>
      </w:r>
      <w:r w:rsidR="00A66149" w:rsidRPr="003013DE">
        <w:rPr>
          <w:rFonts w:ascii="Times New Roman" w:hAnsi="Times New Roman" w:cs="Times New Roman"/>
          <w:b/>
          <w:color w:val="auto"/>
          <w:sz w:val="24"/>
          <w:szCs w:val="24"/>
        </w:rPr>
        <w:t>Disbiosis intestinal, neuroinflamación y activación microglial en la EA</w:t>
      </w:r>
      <w:bookmarkEnd w:id="74"/>
    </w:p>
    <w:p w14:paraId="4BE71F06" w14:textId="4088659B" w:rsidR="00A66149" w:rsidRPr="003013DE" w:rsidRDefault="00A66149" w:rsidP="002148F6">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neuroinflamación crónica es un componente central de la fisiopatología de la enfermedad de Alzheimer, y la microbiota intestinal desempeña un papel clave en su regulación. La disbiosis favorece la translocación de señales proinflamatorias desde el intestino hacia la circulación sistémica, lo que contribuye a la activación persistente de la microglía</w:t>
      </w:r>
      <w:r w:rsidR="00E25EE4"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532EABFC" w14:textId="0A35BB56" w:rsidR="00A66149" w:rsidRPr="003013DE" w:rsidRDefault="00A66149" w:rsidP="0038503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La microglía activada libera citocinas proinflamatorias, especies reactivas de oxígeno y mediadores neurotóxicos que exacerban el daño neuronal y aceleran la progresión del deterioro cognitivo. Estudios en modelos animales de EA han demostrado que la manipulación del microbiota puede modular el grado de activación microglial y la carga </w:t>
      </w:r>
      <w:r w:rsidRPr="003013DE">
        <w:rPr>
          <w:rFonts w:ascii="Times New Roman" w:hAnsi="Times New Roman" w:cs="Times New Roman"/>
          <w:bCs/>
          <w:sz w:val="24"/>
          <w:szCs w:val="24"/>
        </w:rPr>
        <w:lastRenderedPageBreak/>
        <w:t>inflamatoria cerebral.</w:t>
      </w:r>
      <w:r w:rsidR="0038503A"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Estos hallazgos respaldan la idea de que la neuroinflamación asociada a la EA no es un fenómeno exclusivamente central, sino el resultado de una interacción sistémica en la que el microbiota intestinal actúa como un regulador inmunológico clave</w:t>
      </w:r>
      <w:r w:rsidR="00E25EE4"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6696C8F3" w14:textId="3741710B" w:rsidR="00A66149" w:rsidRPr="003013DE" w:rsidRDefault="0038503A" w:rsidP="00FA61E0">
      <w:pPr>
        <w:pStyle w:val="Ttulo3"/>
        <w:rPr>
          <w:rFonts w:ascii="Times New Roman" w:hAnsi="Times New Roman" w:cs="Times New Roman"/>
          <w:b/>
          <w:color w:val="auto"/>
          <w:sz w:val="24"/>
          <w:szCs w:val="24"/>
        </w:rPr>
      </w:pPr>
      <w:bookmarkStart w:id="75" w:name="_Toc223177162"/>
      <w:r w:rsidRPr="003013DE">
        <w:rPr>
          <w:rFonts w:ascii="Times New Roman" w:hAnsi="Times New Roman" w:cs="Times New Roman"/>
          <w:b/>
          <w:color w:val="auto"/>
          <w:sz w:val="24"/>
          <w:szCs w:val="24"/>
        </w:rPr>
        <w:t xml:space="preserve">2.8.4 </w:t>
      </w:r>
      <w:r w:rsidR="00A66149" w:rsidRPr="003013DE">
        <w:rPr>
          <w:rFonts w:ascii="Times New Roman" w:hAnsi="Times New Roman" w:cs="Times New Roman"/>
          <w:b/>
          <w:color w:val="auto"/>
          <w:sz w:val="24"/>
          <w:szCs w:val="24"/>
        </w:rPr>
        <w:t>Impacto del microbiota intestinal en el deterioro cognitivo</w:t>
      </w:r>
      <w:bookmarkEnd w:id="75"/>
    </w:p>
    <w:p w14:paraId="67752EE1" w14:textId="4432A556" w:rsidR="00A66149" w:rsidRPr="003013DE" w:rsidRDefault="00A66149" w:rsidP="002148F6">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alteración del microbiota intestinal se ha vinculado directamente con el deterioro cognitivo, especialmente en dominios como la memoria y el aprendizaje. La reducción de metabolitos neuroprotectores, como el butirato, afecta la plasticidad sináptica, la neurogénesis y la función del hipocampo, una de las regiones más afectadas en la EA</w:t>
      </w:r>
      <w:r w:rsidR="00E25EE4"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112F3DFD" w14:textId="5276317F" w:rsidR="00EB5E24" w:rsidRPr="003013DE" w:rsidRDefault="00A66149" w:rsidP="0038503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Estudios longitudinales sugieren que los cambios en la composición del microbiota pueden preceder al deterioro cognitivo clínico, lo que refuerza su potencial papel como factor predictivo. Asimismo, intervenciones dirigidas a modular el microbiota, como dietas ricas en fibra o el uso de probióticos, han mostrado efectos beneficiosos preliminares sobre la función cognitiva en poblaciones envejecidas.</w:t>
      </w:r>
      <w:r w:rsidR="0038503A"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En conjunto, la evidencia actual posiciona al microbiota intestinal como un componente integral en la fisiopatología de la enfermedad de Alzheimer, influyendo de manera significativa en la acumulación de β-amiloide, la neuroinflamación y el deterioro cognitivo</w:t>
      </w:r>
      <w:r w:rsidR="00E25EE4"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73A6DB2D" w14:textId="753BC631" w:rsidR="00852FDA" w:rsidRPr="003013DE" w:rsidRDefault="00852FDA" w:rsidP="00FA61E0">
      <w:pPr>
        <w:pStyle w:val="Ttulo2"/>
        <w:rPr>
          <w:rFonts w:ascii="Times New Roman" w:hAnsi="Times New Roman" w:cs="Times New Roman"/>
          <w:b/>
          <w:color w:val="auto"/>
          <w:sz w:val="24"/>
          <w:szCs w:val="24"/>
        </w:rPr>
      </w:pPr>
      <w:bookmarkStart w:id="76" w:name="_Toc223177163"/>
      <w:r w:rsidRPr="003013DE">
        <w:rPr>
          <w:rFonts w:ascii="Times New Roman" w:hAnsi="Times New Roman" w:cs="Times New Roman"/>
          <w:b/>
          <w:color w:val="auto"/>
          <w:sz w:val="24"/>
          <w:szCs w:val="24"/>
        </w:rPr>
        <w:t>2.9. Relación entre microbiota intestinal y enfermedad de Parkinson</w:t>
      </w:r>
      <w:bookmarkEnd w:id="76"/>
    </w:p>
    <w:p w14:paraId="2286583D" w14:textId="49E5F726" w:rsidR="00E24082" w:rsidRPr="003013DE" w:rsidRDefault="00E24082"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enfermedad de Parkinson (EP) es un trastorno neurodegenerativo progresivo caracterizado por la degeneración de neuronas dopaminérgicas en la sustancia negra pars compacta y por la acumulación intracelular de agregados de α-sinucleína, que conforman los cuerpos de Lewy. Si bien tradicionalmente se ha considerado una enfermedad del sistema nervioso central, en las últimas décadas se ha fortalecido la evidencia que vincula al tracto gastrointestinal y al microbiota intestinal con los eventos iniciales y la progresión de la enfermedad</w:t>
      </w:r>
      <w:r w:rsidR="007D2B26" w:rsidRPr="003013DE">
        <w:rPr>
          <w:rFonts w:ascii="Times New Roman" w:hAnsi="Times New Roman" w:cs="Times New Roman"/>
          <w:bCs/>
          <w:sz w:val="24"/>
          <w:szCs w:val="24"/>
          <w:vertAlign w:val="superscript"/>
        </w:rPr>
        <w:t>62</w:t>
      </w:r>
      <w:r w:rsidRPr="003013DE">
        <w:rPr>
          <w:rFonts w:ascii="Times New Roman" w:hAnsi="Times New Roman" w:cs="Times New Roman"/>
          <w:bCs/>
          <w:sz w:val="24"/>
          <w:szCs w:val="24"/>
        </w:rPr>
        <w:t>.</w:t>
      </w:r>
    </w:p>
    <w:p w14:paraId="16F3E212" w14:textId="681A1A30" w:rsidR="00E24082" w:rsidRPr="003013DE" w:rsidRDefault="00E24082" w:rsidP="00E2408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denominada hipótesis intestino–cerebro del Parkinson propone que procesos patológicos tempranos podrían originarse en el intestino y propagarse posteriormente al cerebro mediante vías neurales, especialmente a través del nervio vago. Este modelo se sustenta en la presencia de síntomas gastrointestinales prodrómicos, la detección de α-</w:t>
      </w:r>
      <w:r w:rsidRPr="003013DE">
        <w:rPr>
          <w:rFonts w:ascii="Times New Roman" w:hAnsi="Times New Roman" w:cs="Times New Roman"/>
          <w:bCs/>
          <w:sz w:val="24"/>
          <w:szCs w:val="24"/>
        </w:rPr>
        <w:lastRenderedPageBreak/>
        <w:t>sinucleína patológica en el sistema nervioso entérico y las alteraciones persistentes del microbiota intestinal en pacientes con EP</w:t>
      </w:r>
      <w:r w:rsidR="00083F8C" w:rsidRPr="003013DE">
        <w:rPr>
          <w:rFonts w:ascii="Times New Roman" w:hAnsi="Times New Roman" w:cs="Times New Roman"/>
          <w:bCs/>
          <w:sz w:val="24"/>
          <w:szCs w:val="24"/>
          <w:vertAlign w:val="superscript"/>
        </w:rPr>
        <w:t>62</w:t>
      </w:r>
      <w:r w:rsidRPr="003013DE">
        <w:rPr>
          <w:rFonts w:ascii="Times New Roman" w:hAnsi="Times New Roman" w:cs="Times New Roman"/>
          <w:bCs/>
          <w:sz w:val="24"/>
          <w:szCs w:val="24"/>
        </w:rPr>
        <w:t>.</w:t>
      </w:r>
    </w:p>
    <w:p w14:paraId="3F9D2DE4" w14:textId="595D9B8C" w:rsidR="00E24082" w:rsidRPr="003013DE" w:rsidRDefault="00862342" w:rsidP="00FA61E0">
      <w:pPr>
        <w:pStyle w:val="Ttulo3"/>
        <w:rPr>
          <w:rFonts w:ascii="Times New Roman" w:hAnsi="Times New Roman" w:cs="Times New Roman"/>
          <w:b/>
          <w:color w:val="auto"/>
          <w:sz w:val="24"/>
          <w:szCs w:val="24"/>
        </w:rPr>
      </w:pPr>
      <w:bookmarkStart w:id="77" w:name="_Toc223177164"/>
      <w:r w:rsidRPr="003013DE">
        <w:rPr>
          <w:rFonts w:ascii="Times New Roman" w:hAnsi="Times New Roman" w:cs="Times New Roman"/>
          <w:b/>
          <w:color w:val="auto"/>
          <w:sz w:val="24"/>
          <w:szCs w:val="24"/>
        </w:rPr>
        <w:t>2.</w:t>
      </w:r>
      <w:r w:rsidR="00AF24F6" w:rsidRPr="003013DE">
        <w:rPr>
          <w:rFonts w:ascii="Times New Roman" w:hAnsi="Times New Roman" w:cs="Times New Roman"/>
          <w:b/>
          <w:color w:val="auto"/>
          <w:sz w:val="24"/>
          <w:szCs w:val="24"/>
        </w:rPr>
        <w:t xml:space="preserve">9.1 </w:t>
      </w:r>
      <w:r w:rsidR="00E24082" w:rsidRPr="003013DE">
        <w:rPr>
          <w:rFonts w:ascii="Times New Roman" w:hAnsi="Times New Roman" w:cs="Times New Roman"/>
          <w:b/>
          <w:color w:val="auto"/>
          <w:sz w:val="24"/>
          <w:szCs w:val="24"/>
        </w:rPr>
        <w:t>Alteraciones del microbiota intestinal en la patogénesis del Parkinson</w:t>
      </w:r>
      <w:bookmarkEnd w:id="77"/>
    </w:p>
    <w:p w14:paraId="0693ADDD" w14:textId="55669F4C" w:rsidR="00E24082" w:rsidRPr="003013DE" w:rsidRDefault="00E24082"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Numerosos estudios clínicos han demostrado que los individuos con enfermedad de Parkinson presentan una composición del microbiota intestinal significativamente distinta a la de sujetos sanos. Estas diferencias incluyen una reducción de la diversidad microbiana y cambios específicos en la abundancia relativa de ciertos taxones bacterianos</w:t>
      </w:r>
      <w:r w:rsidR="00083F8C" w:rsidRPr="003013DE">
        <w:rPr>
          <w:rFonts w:ascii="Times New Roman" w:hAnsi="Times New Roman" w:cs="Times New Roman"/>
          <w:bCs/>
          <w:sz w:val="24"/>
          <w:szCs w:val="24"/>
          <w:vertAlign w:val="superscript"/>
        </w:rPr>
        <w:t>63</w:t>
      </w:r>
      <w:r w:rsidRPr="003013DE">
        <w:rPr>
          <w:rFonts w:ascii="Times New Roman" w:hAnsi="Times New Roman" w:cs="Times New Roman"/>
          <w:bCs/>
          <w:sz w:val="24"/>
          <w:szCs w:val="24"/>
        </w:rPr>
        <w:t>.</w:t>
      </w:r>
    </w:p>
    <w:p w14:paraId="0CEAFC38" w14:textId="7E82A6DA" w:rsidR="00E24082" w:rsidRPr="003013DE" w:rsidRDefault="00E24082" w:rsidP="00AF24F6">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 manera consistente, se ha observado una disminución de bacterias productoras de ácidos grasos de cadena corta (AGCC), como Prevotella, Faecalibacterium y Roseburia, las cuales desempeñan un papel fundamental en el mantenimiento de la integridad de la barrera intestinal y en la regulación de la inflamación. Paralelamente, se ha descrito un aumento de bacterias potencialmente proinflamatorias, como miembros de la familia Enterobacteriaceae</w:t>
      </w:r>
      <w:r w:rsidR="00083F8C" w:rsidRPr="003013DE">
        <w:rPr>
          <w:rFonts w:ascii="Times New Roman" w:hAnsi="Times New Roman" w:cs="Times New Roman"/>
          <w:bCs/>
          <w:sz w:val="24"/>
          <w:szCs w:val="24"/>
          <w:vertAlign w:val="superscript"/>
        </w:rPr>
        <w:t>63</w:t>
      </w:r>
      <w:r w:rsidRPr="003013DE">
        <w:rPr>
          <w:rFonts w:ascii="Times New Roman" w:hAnsi="Times New Roman" w:cs="Times New Roman"/>
          <w:bCs/>
          <w:sz w:val="24"/>
          <w:szCs w:val="24"/>
        </w:rPr>
        <w:t>.</w:t>
      </w:r>
    </w:p>
    <w:p w14:paraId="7E612978" w14:textId="62661030" w:rsidR="007346A8" w:rsidRPr="003013DE" w:rsidRDefault="00E24082" w:rsidP="007346A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Estas alteraciones microbianas favorecen un entorno intestinal proinflamatorio y una mayor permeabilidad epitelial, lo que permite la translocación de productos bacterianos hacia la circulación sistémica. La inflamación crónica de bajo grado resultante puede actuar como un factor amplificador del daño neuronal y contribuir a la progresión de la enfermedad de Parkinson</w:t>
      </w:r>
      <w:r w:rsidR="00083F8C" w:rsidRPr="003013DE">
        <w:rPr>
          <w:rFonts w:ascii="Times New Roman" w:hAnsi="Times New Roman" w:cs="Times New Roman"/>
          <w:bCs/>
          <w:sz w:val="24"/>
          <w:szCs w:val="24"/>
          <w:vertAlign w:val="superscript"/>
        </w:rPr>
        <w:t>64</w:t>
      </w:r>
      <w:r w:rsidRPr="003013DE">
        <w:rPr>
          <w:rFonts w:ascii="Times New Roman" w:hAnsi="Times New Roman" w:cs="Times New Roman"/>
          <w:bCs/>
          <w:sz w:val="24"/>
          <w:szCs w:val="24"/>
        </w:rPr>
        <w:t>.</w:t>
      </w:r>
    </w:p>
    <w:p w14:paraId="287C78B7" w14:textId="040C52F0" w:rsidR="00E24082" w:rsidRPr="003013DE" w:rsidRDefault="00B164D2" w:rsidP="00FA61E0">
      <w:pPr>
        <w:pStyle w:val="Ttulo3"/>
        <w:rPr>
          <w:rFonts w:ascii="Times New Roman" w:hAnsi="Times New Roman" w:cs="Times New Roman"/>
          <w:b/>
          <w:color w:val="auto"/>
          <w:sz w:val="24"/>
          <w:szCs w:val="24"/>
        </w:rPr>
      </w:pPr>
      <w:bookmarkStart w:id="78" w:name="_Toc223177165"/>
      <w:r w:rsidRPr="003013DE">
        <w:rPr>
          <w:rFonts w:ascii="Times New Roman" w:hAnsi="Times New Roman" w:cs="Times New Roman"/>
          <w:b/>
          <w:color w:val="auto"/>
          <w:sz w:val="24"/>
          <w:szCs w:val="24"/>
        </w:rPr>
        <w:t>2.9.</w:t>
      </w:r>
      <w:r w:rsidR="00632043" w:rsidRPr="003013DE">
        <w:rPr>
          <w:rFonts w:ascii="Times New Roman" w:hAnsi="Times New Roman" w:cs="Times New Roman"/>
          <w:b/>
          <w:color w:val="auto"/>
          <w:sz w:val="24"/>
          <w:szCs w:val="24"/>
        </w:rPr>
        <w:t xml:space="preserve">2 </w:t>
      </w:r>
      <w:r w:rsidR="00E24082" w:rsidRPr="003013DE">
        <w:rPr>
          <w:rFonts w:ascii="Times New Roman" w:hAnsi="Times New Roman" w:cs="Times New Roman"/>
          <w:b/>
          <w:color w:val="auto"/>
          <w:sz w:val="24"/>
          <w:szCs w:val="24"/>
        </w:rPr>
        <w:t>Papel de la α-sinucleína y su relación con el microbiota intestinal</w:t>
      </w:r>
      <w:bookmarkEnd w:id="78"/>
    </w:p>
    <w:p w14:paraId="4A2FCB96" w14:textId="76AF0791" w:rsidR="00E24082" w:rsidRPr="003013DE" w:rsidRDefault="00E24082"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α-sinucleína es una proteína presináptica implicada en la regulación de la neurotransmisión y la plasticidad sináptica. En la EP, esta proteína sufre un proceso de mal plegamiento y agregación patológica que se asocia con neurotoxicidad y muerte neuronal. Evidencia creciente sugiere que la disbiosis intestinal puede influir en este proceso</w:t>
      </w:r>
      <w:r w:rsidR="00083F8C" w:rsidRPr="003013DE">
        <w:rPr>
          <w:rFonts w:ascii="Times New Roman" w:hAnsi="Times New Roman" w:cs="Times New Roman"/>
          <w:bCs/>
          <w:sz w:val="24"/>
          <w:szCs w:val="24"/>
          <w:vertAlign w:val="superscript"/>
        </w:rPr>
        <w:t>64</w:t>
      </w:r>
      <w:r w:rsidRPr="003013DE">
        <w:rPr>
          <w:rFonts w:ascii="Times New Roman" w:hAnsi="Times New Roman" w:cs="Times New Roman"/>
          <w:bCs/>
          <w:sz w:val="24"/>
          <w:szCs w:val="24"/>
        </w:rPr>
        <w:t>.</w:t>
      </w:r>
    </w:p>
    <w:p w14:paraId="0BDC5083" w14:textId="55066BAA" w:rsidR="00E24082" w:rsidRPr="003013DE" w:rsidRDefault="00E24082" w:rsidP="001C6A99">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Estudios experimentales han demostrado que productos derivados del microbiota, como el lipopolisacárido (LPS) y otros metabolitos proinflamatorios, pueden inducir la sobreexpresión y agregación de α-sinucleína en el sistema nervioso entérico. Además, ciertas bacterias intestinales producen amiloides bacterianos estructuralmente similares a la α-sinucleína, capaces de inducir fenómenos de agregación cruzada</w:t>
      </w:r>
      <w:r w:rsidR="001845DB" w:rsidRPr="003013DE">
        <w:rPr>
          <w:rFonts w:ascii="Times New Roman" w:hAnsi="Times New Roman" w:cs="Times New Roman"/>
          <w:bCs/>
          <w:sz w:val="24"/>
          <w:szCs w:val="24"/>
          <w:vertAlign w:val="superscript"/>
        </w:rPr>
        <w:t>65</w:t>
      </w:r>
      <w:r w:rsidRPr="003013DE">
        <w:rPr>
          <w:rFonts w:ascii="Times New Roman" w:hAnsi="Times New Roman" w:cs="Times New Roman"/>
          <w:bCs/>
          <w:sz w:val="24"/>
          <w:szCs w:val="24"/>
        </w:rPr>
        <w:t>.</w:t>
      </w:r>
    </w:p>
    <w:p w14:paraId="1E097B66" w14:textId="7C81E837" w:rsidR="00E24082" w:rsidRPr="003013DE" w:rsidRDefault="00E24082" w:rsidP="00E2408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lastRenderedPageBreak/>
        <w:t>La hipótesis de propagación prion-like plantea que la α-sinucleína patológica podría originarse en el intestino y propagarse al cerebro a través del nervio vago. Esta teoría se ve respaldada por estudios epidemiológicos que muestran una reducción del riesgo de Parkinson en individuos sometidos a vagotomía troncal, lo que refuerza la relevancia del eje intestino–cerebro en la patogénesis de la enfermedad</w:t>
      </w:r>
      <w:r w:rsidR="001845DB" w:rsidRPr="003013DE">
        <w:rPr>
          <w:rFonts w:ascii="Times New Roman" w:hAnsi="Times New Roman" w:cs="Times New Roman"/>
          <w:bCs/>
          <w:sz w:val="24"/>
          <w:szCs w:val="24"/>
          <w:vertAlign w:val="superscript"/>
        </w:rPr>
        <w:t>65</w:t>
      </w:r>
      <w:r w:rsidRPr="003013DE">
        <w:rPr>
          <w:rFonts w:ascii="Times New Roman" w:hAnsi="Times New Roman" w:cs="Times New Roman"/>
          <w:bCs/>
          <w:sz w:val="24"/>
          <w:szCs w:val="24"/>
        </w:rPr>
        <w:t>.</w:t>
      </w:r>
    </w:p>
    <w:p w14:paraId="4A282DA0" w14:textId="2CBC9BCD" w:rsidR="00E24082" w:rsidRPr="003013DE" w:rsidRDefault="001C6A99" w:rsidP="00FA61E0">
      <w:pPr>
        <w:pStyle w:val="Ttulo3"/>
        <w:rPr>
          <w:rFonts w:ascii="Times New Roman" w:hAnsi="Times New Roman" w:cs="Times New Roman"/>
          <w:b/>
          <w:color w:val="auto"/>
          <w:sz w:val="24"/>
          <w:szCs w:val="24"/>
        </w:rPr>
      </w:pPr>
      <w:bookmarkStart w:id="79" w:name="_Toc223177166"/>
      <w:r w:rsidRPr="003013DE">
        <w:rPr>
          <w:rFonts w:ascii="Times New Roman" w:hAnsi="Times New Roman" w:cs="Times New Roman"/>
          <w:b/>
          <w:color w:val="auto"/>
          <w:sz w:val="24"/>
          <w:szCs w:val="24"/>
        </w:rPr>
        <w:t xml:space="preserve">2.9.3 </w:t>
      </w:r>
      <w:r w:rsidR="00E24082" w:rsidRPr="003013DE">
        <w:rPr>
          <w:rFonts w:ascii="Times New Roman" w:hAnsi="Times New Roman" w:cs="Times New Roman"/>
          <w:b/>
          <w:color w:val="auto"/>
          <w:sz w:val="24"/>
          <w:szCs w:val="24"/>
        </w:rPr>
        <w:t>Alteraciones gastrointestinales tempranas en la enfermedad de Parkinson</w:t>
      </w:r>
      <w:bookmarkEnd w:id="79"/>
    </w:p>
    <w:p w14:paraId="5B88E5B6" w14:textId="5C044249" w:rsidR="00E24082" w:rsidRPr="003013DE" w:rsidRDefault="00E24082"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Las manifestaciones gastrointestinales constituyen uno de los rasgos no motores más frecuentes y tempranos de la enfermedad de Parkinson. El estreñimiento crónico, la dismotilidad intestinal y la disfunción del sistema nervioso entérico pueden preceder a los síntomas motores por varios años o incluso décadas.</w:t>
      </w:r>
      <w:r w:rsidR="001C6A99"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Estas alteraciones tempranas se asocian con inflamación intestinal, cambios en la permeabilidad de la mucosa y modificaciones en la composición del microbiota. La presencia de α-sinucleína patológica en los plexos de Meissner y Auerbach en etapas prodrómicas sugiere que el tracto gastrointestinal podría ser uno de los primeros sitios de inicio del proceso neurodegenerativo</w:t>
      </w:r>
      <w:r w:rsidR="001845DB" w:rsidRPr="003013DE">
        <w:rPr>
          <w:rFonts w:ascii="Times New Roman" w:hAnsi="Times New Roman" w:cs="Times New Roman"/>
          <w:bCs/>
          <w:sz w:val="24"/>
          <w:szCs w:val="24"/>
          <w:vertAlign w:val="superscript"/>
        </w:rPr>
        <w:t>66</w:t>
      </w:r>
      <w:r w:rsidRPr="003013DE">
        <w:rPr>
          <w:rFonts w:ascii="Times New Roman" w:hAnsi="Times New Roman" w:cs="Times New Roman"/>
          <w:bCs/>
          <w:sz w:val="24"/>
          <w:szCs w:val="24"/>
        </w:rPr>
        <w:t>.</w:t>
      </w:r>
    </w:p>
    <w:p w14:paraId="2DE16304" w14:textId="1D42A9CB" w:rsidR="00E24082" w:rsidRPr="003013DE" w:rsidRDefault="00E24082" w:rsidP="00E2408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Desde una perspectiva clínica, estas observaciones han llevado a proponer que las alteraciones gastrointestinales y del microbiota intestinal podrían utilizarse como biomarcadores tempranos del Parkinson, permitiendo la identificación de individuos en riesgo antes de la aparición de los síntomas motores irreversibles</w:t>
      </w:r>
      <w:r w:rsidR="001845DB" w:rsidRPr="003013DE">
        <w:rPr>
          <w:rFonts w:ascii="Times New Roman" w:hAnsi="Times New Roman" w:cs="Times New Roman"/>
          <w:bCs/>
          <w:sz w:val="24"/>
          <w:szCs w:val="24"/>
          <w:vertAlign w:val="superscript"/>
        </w:rPr>
        <w:t>66</w:t>
      </w:r>
      <w:r w:rsidRPr="003013DE">
        <w:rPr>
          <w:rFonts w:ascii="Times New Roman" w:hAnsi="Times New Roman" w:cs="Times New Roman"/>
          <w:bCs/>
          <w:sz w:val="24"/>
          <w:szCs w:val="24"/>
        </w:rPr>
        <w:t>.</w:t>
      </w:r>
    </w:p>
    <w:p w14:paraId="3232D046" w14:textId="1C7C72A3" w:rsidR="00E24082" w:rsidRPr="003013DE" w:rsidRDefault="001C6A99" w:rsidP="00241292">
      <w:pPr>
        <w:spacing w:line="360" w:lineRule="auto"/>
        <w:jc w:val="both"/>
        <w:rPr>
          <w:rFonts w:ascii="Times New Roman" w:hAnsi="Times New Roman" w:cs="Times New Roman"/>
          <w:b/>
          <w:sz w:val="24"/>
          <w:szCs w:val="24"/>
        </w:rPr>
      </w:pPr>
      <w:r w:rsidRPr="003013DE">
        <w:rPr>
          <w:rFonts w:ascii="Times New Roman" w:hAnsi="Times New Roman" w:cs="Times New Roman"/>
          <w:b/>
          <w:sz w:val="24"/>
          <w:szCs w:val="24"/>
        </w:rPr>
        <w:t xml:space="preserve">2.9.4 </w:t>
      </w:r>
      <w:r w:rsidR="00E24082" w:rsidRPr="003013DE">
        <w:rPr>
          <w:rFonts w:ascii="Times New Roman" w:hAnsi="Times New Roman" w:cs="Times New Roman"/>
          <w:b/>
          <w:sz w:val="24"/>
          <w:szCs w:val="24"/>
        </w:rPr>
        <w:t>Inflamación sistémica, microbiota y neurodegeneración en Parkinson</w:t>
      </w:r>
    </w:p>
    <w:p w14:paraId="626CE565" w14:textId="2AD0C9B6" w:rsidR="00E24082" w:rsidRPr="003013DE" w:rsidRDefault="00E24082" w:rsidP="00E2408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asociada a la EP contribuye a una inflamación sistémica de bajo grado, caracterizada por la liberación persistente de citocinas proinflamatorias y la activación del sistema inmunológico innato. Estas señales inflamatorias pueden atravesar la barrera hematoencefálica y activar la microglía</w:t>
      </w:r>
      <w:r w:rsidR="001845DB"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24AEBBC9" w14:textId="63D01921" w:rsidR="00E24082" w:rsidRPr="003013DE" w:rsidRDefault="00E24082" w:rsidP="00E2408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activación microglial crónica promueve el estrés oxidativo, la disfunción mitocondrial y la pérdida progresiva de neuronas dopaminérgicas. Modelos animales han demostrado que la modulación del microbiota, ya sea mediante antibióticos, probióticos o ausencia de microbiota, puede atenuar los síntomas motores y reducir la neuroinflamación</w:t>
      </w:r>
      <w:r w:rsidR="00500BBC"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3EF71137" w14:textId="686E80E6" w:rsidR="00852FDA" w:rsidRPr="003013DE" w:rsidRDefault="00852FDA" w:rsidP="00FA61E0">
      <w:pPr>
        <w:pStyle w:val="Ttulo2"/>
        <w:rPr>
          <w:rFonts w:ascii="Times New Roman" w:hAnsi="Times New Roman" w:cs="Times New Roman"/>
          <w:b/>
          <w:color w:val="auto"/>
          <w:sz w:val="24"/>
          <w:szCs w:val="24"/>
        </w:rPr>
      </w:pPr>
      <w:bookmarkStart w:id="80" w:name="_Toc223177167"/>
      <w:r w:rsidRPr="003013DE">
        <w:rPr>
          <w:rFonts w:ascii="Times New Roman" w:hAnsi="Times New Roman" w:cs="Times New Roman"/>
          <w:b/>
          <w:color w:val="auto"/>
          <w:sz w:val="24"/>
          <w:szCs w:val="24"/>
        </w:rPr>
        <w:lastRenderedPageBreak/>
        <w:t>2.10. Relación entre microbiota intestinal y esclerosis múltiple</w:t>
      </w:r>
      <w:bookmarkEnd w:id="80"/>
    </w:p>
    <w:p w14:paraId="02E3023E" w14:textId="23112FE7" w:rsidR="00E96B20" w:rsidRPr="003013DE" w:rsidRDefault="00E96B20"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esclerosis múltiple (EM) es una enfermedad autoinmune, inflamatoria y neurodegenerativa del sistema nervioso central, caracterizada por desmielinización, daño axonal y disfunción neurológica progresiva. Aunque su etiología es multifactorial, involucrando factores genéticos y ambientales, en los últimos años el microbiota intestinal ha emergido como un modulador clave de la respuesta inmunológica implicada en la patogénesis de la enfermedad.</w:t>
      </w:r>
    </w:p>
    <w:p w14:paraId="59D9B3E0" w14:textId="77777777" w:rsidR="00E96B20" w:rsidRPr="003013DE" w:rsidRDefault="00E96B20" w:rsidP="00E96B20">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creciente interés en el eje microbiota–intestino–cerebro ha permitido identificar que las alteraciones en la composición y función del microbiota intestinal pueden influir directamente en la activación del sistema inmunológico periférico y en la pérdida de tolerancia inmunológica frente a antígenos del sistema nervioso central. En este contexto, la disbiosis intestinal se reconoce como un factor ambiental potencialmente modificable en la EM.</w:t>
      </w:r>
    </w:p>
    <w:p w14:paraId="65971B66" w14:textId="57643380" w:rsidR="00E96B20" w:rsidRPr="003013DE" w:rsidRDefault="00E94F90" w:rsidP="00FA61E0">
      <w:pPr>
        <w:pStyle w:val="Ttulo3"/>
        <w:rPr>
          <w:rFonts w:ascii="Times New Roman" w:hAnsi="Times New Roman" w:cs="Times New Roman"/>
          <w:b/>
          <w:color w:val="auto"/>
          <w:sz w:val="24"/>
          <w:szCs w:val="24"/>
        </w:rPr>
      </w:pPr>
      <w:bookmarkStart w:id="81" w:name="_Toc223177168"/>
      <w:r w:rsidRPr="003013DE">
        <w:rPr>
          <w:rFonts w:ascii="Times New Roman" w:hAnsi="Times New Roman" w:cs="Times New Roman"/>
          <w:b/>
          <w:color w:val="auto"/>
          <w:sz w:val="24"/>
          <w:szCs w:val="24"/>
        </w:rPr>
        <w:t xml:space="preserve">2.10.1 </w:t>
      </w:r>
      <w:r w:rsidR="00E96B20" w:rsidRPr="003013DE">
        <w:rPr>
          <w:rFonts w:ascii="Times New Roman" w:hAnsi="Times New Roman" w:cs="Times New Roman"/>
          <w:b/>
          <w:color w:val="auto"/>
          <w:sz w:val="24"/>
          <w:szCs w:val="24"/>
        </w:rPr>
        <w:t>Alteraciones del microbiota intestinal en la esclerosis múltiple</w:t>
      </w:r>
      <w:bookmarkEnd w:id="81"/>
    </w:p>
    <w:p w14:paraId="1AD85AEA" w14:textId="2F2342EC" w:rsidR="00E96B20" w:rsidRPr="003013DE" w:rsidRDefault="00E96B20"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Estudios comparativos han demostrado que los pacientes con esclerosis múltiple presentan una composición del microbiota intestinal distinta a la de individuos sanos. Estas diferencias incluyen una reducción de la diversidad bacteriana y cambios específicos en la abundancia de taxones asociados con regulación inmunológica</w:t>
      </w:r>
      <w:r w:rsidR="00700EF6" w:rsidRPr="003013DE">
        <w:rPr>
          <w:rFonts w:ascii="Times New Roman" w:hAnsi="Times New Roman" w:cs="Times New Roman"/>
          <w:bCs/>
          <w:sz w:val="24"/>
          <w:szCs w:val="24"/>
          <w:vertAlign w:val="superscript"/>
        </w:rPr>
        <w:t>67</w:t>
      </w:r>
      <w:r w:rsidRPr="003013DE">
        <w:rPr>
          <w:rFonts w:ascii="Times New Roman" w:hAnsi="Times New Roman" w:cs="Times New Roman"/>
          <w:bCs/>
          <w:sz w:val="24"/>
          <w:szCs w:val="24"/>
        </w:rPr>
        <w:t>.</w:t>
      </w:r>
    </w:p>
    <w:p w14:paraId="6BF7376E" w14:textId="3AF0C8EE" w:rsidR="00E96B20" w:rsidRPr="003013DE" w:rsidRDefault="00E96B20" w:rsidP="00F83EE7">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 forma consistente, se ha descrito una disminución de bacterias con propiedades antiinflamatorias y reguladoras de la respuesta inmune, como Faecalibacterium prausnitzii y Bacteroides fragilis, junto con un aumento de microorganismos proinflamatorios como Akkermansia muciniphila y Methanobrevibacter. Este perfil microbiano favorece un entorno inmunológico proinflamatorio</w:t>
      </w:r>
      <w:r w:rsidR="00F83EE7"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Estas alteraciones no solo se asocian con la presencia de la enfermedad, sino también con su actividad clínica y radiológica, lo que sugiere que la disbiosis intestinal puede influir en la progresión y severidad de la EM</w:t>
      </w:r>
      <w:r w:rsidR="00700EF6" w:rsidRPr="003013DE">
        <w:rPr>
          <w:rFonts w:ascii="Times New Roman" w:hAnsi="Times New Roman" w:cs="Times New Roman"/>
          <w:bCs/>
          <w:sz w:val="24"/>
          <w:szCs w:val="24"/>
          <w:vertAlign w:val="superscript"/>
        </w:rPr>
        <w:t>68</w:t>
      </w:r>
      <w:r w:rsidRPr="003013DE">
        <w:rPr>
          <w:rFonts w:ascii="Times New Roman" w:hAnsi="Times New Roman" w:cs="Times New Roman"/>
          <w:bCs/>
          <w:sz w:val="24"/>
          <w:szCs w:val="24"/>
        </w:rPr>
        <w:t>.</w:t>
      </w:r>
    </w:p>
    <w:p w14:paraId="1ADCCE83" w14:textId="2DCF3F72" w:rsidR="00E96B20" w:rsidRPr="003013DE" w:rsidRDefault="00B74785" w:rsidP="00FA61E0">
      <w:pPr>
        <w:pStyle w:val="Ttulo3"/>
        <w:rPr>
          <w:rFonts w:ascii="Times New Roman" w:hAnsi="Times New Roman" w:cs="Times New Roman"/>
          <w:b/>
          <w:color w:val="auto"/>
          <w:sz w:val="24"/>
          <w:szCs w:val="24"/>
        </w:rPr>
      </w:pPr>
      <w:bookmarkStart w:id="82" w:name="_Toc223177169"/>
      <w:r w:rsidRPr="003013DE">
        <w:rPr>
          <w:rFonts w:ascii="Times New Roman" w:hAnsi="Times New Roman" w:cs="Times New Roman"/>
          <w:b/>
          <w:color w:val="auto"/>
          <w:sz w:val="24"/>
          <w:szCs w:val="24"/>
        </w:rPr>
        <w:t xml:space="preserve">2.10.2 </w:t>
      </w:r>
      <w:r w:rsidR="00E96B20" w:rsidRPr="003013DE">
        <w:rPr>
          <w:rFonts w:ascii="Times New Roman" w:hAnsi="Times New Roman" w:cs="Times New Roman"/>
          <w:b/>
          <w:color w:val="auto"/>
          <w:sz w:val="24"/>
          <w:szCs w:val="24"/>
        </w:rPr>
        <w:t>Mecanismos inmunológicos: pérdida de tolerancia y activación autoinmune</w:t>
      </w:r>
      <w:bookmarkEnd w:id="82"/>
    </w:p>
    <w:p w14:paraId="112D6DD9" w14:textId="10CA9330" w:rsidR="00E96B20" w:rsidRPr="003013DE" w:rsidRDefault="00E96B20"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Uno de los principales mecanismos que vinculan la disbiosis intestinal con la esclerosis múltiple es la alteración del equilibrio entre linfocitos T reguladores (Treg) y linfocitos T proinflamatorios, particularmente los subtipos Th1 y Th17. En condiciones </w:t>
      </w:r>
      <w:r w:rsidRPr="003013DE">
        <w:rPr>
          <w:rFonts w:ascii="Times New Roman" w:hAnsi="Times New Roman" w:cs="Times New Roman"/>
          <w:bCs/>
          <w:sz w:val="24"/>
          <w:szCs w:val="24"/>
        </w:rPr>
        <w:lastRenderedPageBreak/>
        <w:t>fisiológicas, el microbiota intestinal contribuye al desarrollo y mantenimiento de la tolerancia inmunológica</w:t>
      </w:r>
      <w:r w:rsidR="00700EF6" w:rsidRPr="003013DE">
        <w:rPr>
          <w:rFonts w:ascii="Times New Roman" w:hAnsi="Times New Roman" w:cs="Times New Roman"/>
          <w:bCs/>
          <w:sz w:val="24"/>
          <w:szCs w:val="24"/>
          <w:vertAlign w:val="superscript"/>
        </w:rPr>
        <w:t>6</w:t>
      </w:r>
      <w:r w:rsidR="00747A2C" w:rsidRPr="003013DE">
        <w:rPr>
          <w:rFonts w:ascii="Times New Roman" w:hAnsi="Times New Roman" w:cs="Times New Roman"/>
          <w:bCs/>
          <w:sz w:val="24"/>
          <w:szCs w:val="24"/>
          <w:vertAlign w:val="superscript"/>
        </w:rPr>
        <w:t>9</w:t>
      </w:r>
      <w:r w:rsidRPr="003013DE">
        <w:rPr>
          <w:rFonts w:ascii="Times New Roman" w:hAnsi="Times New Roman" w:cs="Times New Roman"/>
          <w:bCs/>
          <w:sz w:val="24"/>
          <w:szCs w:val="24"/>
        </w:rPr>
        <w:t>.</w:t>
      </w:r>
    </w:p>
    <w:p w14:paraId="1527E562" w14:textId="05F27CB0" w:rsidR="00E96B20" w:rsidRPr="003013DE" w:rsidRDefault="00E96B20" w:rsidP="00B74785">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reduce la inducción de células Treg, esenciales para suprimir respuestas autoinmunes, y favorece la expansión de linfocitos Th17 productores de IL-17, una citocina clave en la patogénesis de la EM. Estas células pueden atravesar la barrera hematoencefálica y desencadenar inflamación y desmielinización en el SNC.</w:t>
      </w:r>
      <w:r w:rsidR="00B74785"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Además, ciertos antígenos bacterianos pueden inducir mimetismo molecular, activando linfocitos autorreactivos que reconocen componentes de la mielina. Este fenómeno refuerza la conexión entre la alteración del microbiota intestinal y la activación autoinmune dirigida contra el sistema nervioso central</w:t>
      </w:r>
      <w:r w:rsidR="00747A2C"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08981B21" w14:textId="4150CF1C" w:rsidR="00E96B20" w:rsidRPr="003013DE" w:rsidRDefault="00A419BE" w:rsidP="00FA61E0">
      <w:pPr>
        <w:pStyle w:val="Ttulo3"/>
        <w:rPr>
          <w:rFonts w:ascii="Times New Roman" w:hAnsi="Times New Roman" w:cs="Times New Roman"/>
          <w:b/>
          <w:color w:val="auto"/>
          <w:sz w:val="24"/>
          <w:szCs w:val="24"/>
        </w:rPr>
      </w:pPr>
      <w:bookmarkStart w:id="83" w:name="_Toc223177170"/>
      <w:r w:rsidRPr="003013DE">
        <w:rPr>
          <w:rFonts w:ascii="Times New Roman" w:hAnsi="Times New Roman" w:cs="Times New Roman"/>
          <w:b/>
          <w:color w:val="auto"/>
          <w:sz w:val="24"/>
          <w:szCs w:val="24"/>
        </w:rPr>
        <w:t xml:space="preserve">2.10.3 </w:t>
      </w:r>
      <w:r w:rsidR="00E96B20" w:rsidRPr="003013DE">
        <w:rPr>
          <w:rFonts w:ascii="Times New Roman" w:hAnsi="Times New Roman" w:cs="Times New Roman"/>
          <w:b/>
          <w:color w:val="auto"/>
          <w:sz w:val="24"/>
          <w:szCs w:val="24"/>
        </w:rPr>
        <w:t>Inflamación sistémica y disfunción de la barrera intestinal</w:t>
      </w:r>
      <w:bookmarkEnd w:id="83"/>
    </w:p>
    <w:p w14:paraId="3E312F9B" w14:textId="34C419E3" w:rsidR="00E96B20" w:rsidRPr="003013DE" w:rsidRDefault="00E96B20" w:rsidP="00087425">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disbiosis intestinal se asocia con un aumento de la permeabilidad intestinal, lo que permite la translocación de productos bacterianos, como el lipopolisacárido (LPS), hacia la circulación sistémica. Este fenómeno induce una inflamación crónica de bajo grado que actúa como un estímulo constante para el sistema inmunológico</w:t>
      </w:r>
      <w:r w:rsidR="00747A2C" w:rsidRPr="003013DE">
        <w:rPr>
          <w:rFonts w:ascii="Times New Roman" w:hAnsi="Times New Roman" w:cs="Times New Roman"/>
          <w:bCs/>
          <w:sz w:val="24"/>
          <w:szCs w:val="24"/>
          <w:vertAlign w:val="superscript"/>
        </w:rPr>
        <w:t>70</w:t>
      </w:r>
      <w:r w:rsidRPr="003013DE">
        <w:rPr>
          <w:rFonts w:ascii="Times New Roman" w:hAnsi="Times New Roman" w:cs="Times New Roman"/>
          <w:bCs/>
          <w:sz w:val="24"/>
          <w:szCs w:val="24"/>
        </w:rPr>
        <w:t>.</w:t>
      </w:r>
    </w:p>
    <w:p w14:paraId="247B5454" w14:textId="484C8DDE" w:rsidR="00E96B20" w:rsidRPr="003013DE" w:rsidRDefault="00E96B20" w:rsidP="00A419BE">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inflamación sistémica resultante favorece la activación de células inmunes periféricas y aumenta la permeabilidad de la barrera hematoencefálica, facilitando el ingreso de células inflamatorias al SNC. Este proceso contribuye a la amplificación de la respuesta autoinmune característica de la EM.</w:t>
      </w:r>
      <w:r w:rsidR="00A419BE"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La activación microglial y la liberación de citocinas proinflamatorias en el cerebro perpetúan el daño desmielinizante y axonal, estableciendo un círculo vicioso entre inflamación periférica e inflamación central</w:t>
      </w:r>
      <w:r w:rsidR="00747A2C" w:rsidRPr="003013DE">
        <w:rPr>
          <w:rFonts w:ascii="Times New Roman" w:hAnsi="Times New Roman" w:cs="Times New Roman"/>
          <w:bCs/>
          <w:sz w:val="24"/>
          <w:szCs w:val="24"/>
          <w:vertAlign w:val="superscript"/>
        </w:rPr>
        <w:t>70</w:t>
      </w:r>
      <w:r w:rsidRPr="003013DE">
        <w:rPr>
          <w:rFonts w:ascii="Times New Roman" w:hAnsi="Times New Roman" w:cs="Times New Roman"/>
          <w:bCs/>
          <w:sz w:val="24"/>
          <w:szCs w:val="24"/>
        </w:rPr>
        <w:t>.</w:t>
      </w:r>
    </w:p>
    <w:p w14:paraId="0A63D1FC" w14:textId="77777777" w:rsidR="00FA61E0" w:rsidRPr="003013DE" w:rsidRDefault="00FA61E0" w:rsidP="0052603C">
      <w:pPr>
        <w:spacing w:line="360" w:lineRule="auto"/>
        <w:jc w:val="both"/>
        <w:rPr>
          <w:rFonts w:ascii="Times New Roman" w:hAnsi="Times New Roman" w:cs="Times New Roman"/>
          <w:b/>
          <w:sz w:val="24"/>
          <w:szCs w:val="24"/>
        </w:rPr>
      </w:pPr>
    </w:p>
    <w:p w14:paraId="457C2C0A" w14:textId="77777777" w:rsidR="00FA61E0" w:rsidRDefault="00FA61E0" w:rsidP="0052603C">
      <w:pPr>
        <w:spacing w:line="360" w:lineRule="auto"/>
        <w:jc w:val="both"/>
        <w:rPr>
          <w:rFonts w:ascii="Times New Roman" w:hAnsi="Times New Roman" w:cs="Times New Roman"/>
          <w:b/>
          <w:sz w:val="24"/>
          <w:szCs w:val="24"/>
        </w:rPr>
      </w:pPr>
    </w:p>
    <w:p w14:paraId="4737323A" w14:textId="77777777" w:rsidR="007B204E" w:rsidRDefault="007B204E" w:rsidP="0052603C">
      <w:pPr>
        <w:spacing w:line="360" w:lineRule="auto"/>
        <w:jc w:val="both"/>
        <w:rPr>
          <w:rFonts w:ascii="Times New Roman" w:hAnsi="Times New Roman" w:cs="Times New Roman"/>
          <w:b/>
          <w:sz w:val="24"/>
          <w:szCs w:val="24"/>
        </w:rPr>
      </w:pPr>
    </w:p>
    <w:p w14:paraId="1D857765" w14:textId="77777777" w:rsidR="007B204E" w:rsidRDefault="007B204E" w:rsidP="0052603C">
      <w:pPr>
        <w:spacing w:line="360" w:lineRule="auto"/>
        <w:jc w:val="both"/>
        <w:rPr>
          <w:rFonts w:ascii="Times New Roman" w:hAnsi="Times New Roman" w:cs="Times New Roman"/>
          <w:b/>
          <w:sz w:val="24"/>
          <w:szCs w:val="24"/>
        </w:rPr>
      </w:pPr>
    </w:p>
    <w:p w14:paraId="77328736" w14:textId="77777777" w:rsidR="007B204E" w:rsidRDefault="007B204E" w:rsidP="0052603C">
      <w:pPr>
        <w:spacing w:line="360" w:lineRule="auto"/>
        <w:jc w:val="both"/>
        <w:rPr>
          <w:rFonts w:ascii="Times New Roman" w:hAnsi="Times New Roman" w:cs="Times New Roman"/>
          <w:b/>
          <w:sz w:val="24"/>
          <w:szCs w:val="24"/>
        </w:rPr>
      </w:pPr>
    </w:p>
    <w:p w14:paraId="1873442A" w14:textId="77777777" w:rsidR="007B204E" w:rsidRPr="003013DE" w:rsidRDefault="007B204E" w:rsidP="0052603C">
      <w:pPr>
        <w:spacing w:line="360" w:lineRule="auto"/>
        <w:jc w:val="both"/>
        <w:rPr>
          <w:rFonts w:ascii="Times New Roman" w:hAnsi="Times New Roman" w:cs="Times New Roman"/>
          <w:b/>
          <w:sz w:val="24"/>
          <w:szCs w:val="24"/>
        </w:rPr>
      </w:pPr>
    </w:p>
    <w:p w14:paraId="77FB571F" w14:textId="6CB9F07F" w:rsidR="008E7F3D" w:rsidRPr="00F35382" w:rsidRDefault="00FA61E0" w:rsidP="00F35382">
      <w:pPr>
        <w:jc w:val="center"/>
        <w:rPr>
          <w:rFonts w:ascii="Times New Roman" w:hAnsi="Times New Roman" w:cs="Times New Roman"/>
          <w:b/>
          <w:bCs/>
          <w:sz w:val="24"/>
          <w:szCs w:val="24"/>
        </w:rPr>
      </w:pPr>
      <w:bookmarkStart w:id="84" w:name="_Toc223177505"/>
      <w:r w:rsidRPr="00F35382">
        <w:rPr>
          <w:rFonts w:ascii="Times New Roman" w:hAnsi="Times New Roman" w:cs="Times New Roman"/>
          <w:b/>
          <w:bCs/>
          <w:sz w:val="24"/>
          <w:szCs w:val="24"/>
        </w:rPr>
        <w:lastRenderedPageBreak/>
        <w:t xml:space="preserve">Figura </w:t>
      </w:r>
      <w:r w:rsidRPr="00F35382">
        <w:rPr>
          <w:rFonts w:ascii="Times New Roman" w:hAnsi="Times New Roman" w:cs="Times New Roman"/>
          <w:b/>
          <w:bCs/>
          <w:sz w:val="24"/>
          <w:szCs w:val="24"/>
        </w:rPr>
        <w:fldChar w:fldCharType="begin"/>
      </w:r>
      <w:r w:rsidRPr="00F35382">
        <w:rPr>
          <w:rFonts w:ascii="Times New Roman" w:hAnsi="Times New Roman" w:cs="Times New Roman"/>
          <w:b/>
          <w:bCs/>
          <w:sz w:val="24"/>
          <w:szCs w:val="24"/>
        </w:rPr>
        <w:instrText xml:space="preserve"> SEQ Figura \* ARABIC </w:instrText>
      </w:r>
      <w:r w:rsidRPr="00F35382">
        <w:rPr>
          <w:rFonts w:ascii="Times New Roman" w:hAnsi="Times New Roman" w:cs="Times New Roman"/>
          <w:b/>
          <w:bCs/>
          <w:sz w:val="24"/>
          <w:szCs w:val="24"/>
        </w:rPr>
        <w:fldChar w:fldCharType="separate"/>
      </w:r>
      <w:r w:rsidRPr="00F35382">
        <w:rPr>
          <w:rFonts w:ascii="Times New Roman" w:hAnsi="Times New Roman" w:cs="Times New Roman"/>
          <w:b/>
          <w:bCs/>
          <w:noProof/>
          <w:sz w:val="24"/>
          <w:szCs w:val="24"/>
        </w:rPr>
        <w:t>3</w:t>
      </w:r>
      <w:r w:rsidRPr="00F35382">
        <w:rPr>
          <w:rFonts w:ascii="Times New Roman" w:hAnsi="Times New Roman" w:cs="Times New Roman"/>
          <w:b/>
          <w:bCs/>
          <w:sz w:val="24"/>
          <w:szCs w:val="24"/>
        </w:rPr>
        <w:fldChar w:fldCharType="end"/>
      </w:r>
      <w:r w:rsidR="008E7F3D" w:rsidRPr="00F35382">
        <w:rPr>
          <w:rFonts w:ascii="Times New Roman" w:hAnsi="Times New Roman" w:cs="Times New Roman"/>
          <w:b/>
          <w:bCs/>
          <w:sz w:val="24"/>
          <w:szCs w:val="24"/>
        </w:rPr>
        <w:t xml:space="preserve">. </w:t>
      </w:r>
      <w:r w:rsidR="0052603C" w:rsidRPr="00F35382">
        <w:rPr>
          <w:rFonts w:ascii="Times New Roman" w:hAnsi="Times New Roman" w:cs="Times New Roman"/>
          <w:b/>
          <w:bCs/>
          <w:sz w:val="24"/>
          <w:szCs w:val="24"/>
        </w:rPr>
        <w:t>Mecanismos de disfunción de la barrera intestinal y enfermedades sistémicas</w:t>
      </w:r>
      <w:bookmarkEnd w:id="84"/>
    </w:p>
    <w:p w14:paraId="255E40BC" w14:textId="2DA29340" w:rsidR="00E432DA" w:rsidRPr="003013DE" w:rsidRDefault="008E7F3D" w:rsidP="00A419BE">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noProof/>
          <w:sz w:val="24"/>
          <w:szCs w:val="24"/>
          <w14:ligatures w14:val="standardContextual"/>
        </w:rPr>
        <w:drawing>
          <wp:anchor distT="0" distB="0" distL="114300" distR="114300" simplePos="0" relativeHeight="251670528" behindDoc="0" locked="0" layoutInCell="1" allowOverlap="1" wp14:anchorId="50F7DA56" wp14:editId="7ADDAA0E">
            <wp:simplePos x="0" y="0"/>
            <wp:positionH relativeFrom="column">
              <wp:posOffset>0</wp:posOffset>
            </wp:positionH>
            <wp:positionV relativeFrom="paragraph">
              <wp:posOffset>365760</wp:posOffset>
            </wp:positionV>
            <wp:extent cx="5612130" cy="3579495"/>
            <wp:effectExtent l="0" t="0" r="1270" b="1905"/>
            <wp:wrapTopAndBottom/>
            <wp:docPr id="80089853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898537" name="Imagen 80089853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12130" cy="3579495"/>
                    </a:xfrm>
                    <a:prstGeom prst="rect">
                      <a:avLst/>
                    </a:prstGeom>
                  </pic:spPr>
                </pic:pic>
              </a:graphicData>
            </a:graphic>
          </wp:anchor>
        </w:drawing>
      </w:r>
    </w:p>
    <w:p w14:paraId="1620F49E" w14:textId="58805A7E" w:rsidR="0052603C" w:rsidRPr="003013DE" w:rsidRDefault="0052603C" w:rsidP="009A2ABB">
      <w:pPr>
        <w:spacing w:line="360" w:lineRule="auto"/>
        <w:jc w:val="center"/>
        <w:rPr>
          <w:rFonts w:ascii="Times New Roman" w:hAnsi="Times New Roman" w:cs="Times New Roman"/>
          <w:bCs/>
          <w:sz w:val="24"/>
          <w:szCs w:val="24"/>
        </w:rPr>
      </w:pPr>
      <w:r w:rsidRPr="003013DE">
        <w:rPr>
          <w:rFonts w:ascii="Times New Roman" w:hAnsi="Times New Roman" w:cs="Times New Roman"/>
          <w:bCs/>
          <w:sz w:val="24"/>
          <w:szCs w:val="24"/>
        </w:rPr>
        <w:t>Fuente: tomada de la referencia bibliográfica</w:t>
      </w:r>
      <w:r w:rsidR="009A2ABB" w:rsidRPr="003013DE">
        <w:rPr>
          <w:rFonts w:ascii="Times New Roman" w:hAnsi="Times New Roman" w:cs="Times New Roman"/>
          <w:bCs/>
          <w:sz w:val="24"/>
          <w:szCs w:val="24"/>
          <w:vertAlign w:val="superscript"/>
        </w:rPr>
        <w:t>70</w:t>
      </w:r>
      <w:r w:rsidR="009A2ABB" w:rsidRPr="003013DE">
        <w:rPr>
          <w:rFonts w:ascii="Times New Roman" w:hAnsi="Times New Roman" w:cs="Times New Roman"/>
          <w:bCs/>
          <w:sz w:val="24"/>
          <w:szCs w:val="24"/>
        </w:rPr>
        <w:t>.</w:t>
      </w:r>
    </w:p>
    <w:p w14:paraId="220704BE" w14:textId="77777777" w:rsidR="0052603C" w:rsidRPr="003013DE" w:rsidRDefault="0052603C" w:rsidP="00BD4E03">
      <w:pPr>
        <w:spacing w:line="360" w:lineRule="auto"/>
        <w:jc w:val="both"/>
        <w:rPr>
          <w:rFonts w:ascii="Times New Roman" w:hAnsi="Times New Roman" w:cs="Times New Roman"/>
          <w:b/>
          <w:sz w:val="24"/>
          <w:szCs w:val="24"/>
        </w:rPr>
      </w:pPr>
    </w:p>
    <w:p w14:paraId="1BF589A9" w14:textId="024DA839" w:rsidR="00E96B20" w:rsidRPr="003013DE" w:rsidRDefault="0052603C" w:rsidP="00FA61E0">
      <w:pPr>
        <w:pStyle w:val="Ttulo3"/>
        <w:rPr>
          <w:rFonts w:ascii="Times New Roman" w:hAnsi="Times New Roman" w:cs="Times New Roman"/>
          <w:b/>
          <w:color w:val="auto"/>
          <w:sz w:val="24"/>
          <w:szCs w:val="24"/>
        </w:rPr>
      </w:pPr>
      <w:bookmarkStart w:id="85" w:name="_Toc223177171"/>
      <w:r w:rsidRPr="003013DE">
        <w:rPr>
          <w:rFonts w:ascii="Times New Roman" w:hAnsi="Times New Roman" w:cs="Times New Roman"/>
          <w:b/>
          <w:color w:val="auto"/>
          <w:sz w:val="24"/>
          <w:szCs w:val="24"/>
        </w:rPr>
        <w:t>2</w:t>
      </w:r>
      <w:r w:rsidR="00BD4E03" w:rsidRPr="003013DE">
        <w:rPr>
          <w:rFonts w:ascii="Times New Roman" w:hAnsi="Times New Roman" w:cs="Times New Roman"/>
          <w:b/>
          <w:color w:val="auto"/>
          <w:sz w:val="24"/>
          <w:szCs w:val="24"/>
        </w:rPr>
        <w:t>.10.4 Mecanismos</w:t>
      </w:r>
      <w:r w:rsidR="00E96B20" w:rsidRPr="003013DE">
        <w:rPr>
          <w:rFonts w:ascii="Times New Roman" w:hAnsi="Times New Roman" w:cs="Times New Roman"/>
          <w:b/>
          <w:color w:val="auto"/>
          <w:sz w:val="24"/>
          <w:szCs w:val="24"/>
        </w:rPr>
        <w:t xml:space="preserve"> metabólicos: papel de los metabolitos microbianos</w:t>
      </w:r>
      <w:bookmarkEnd w:id="85"/>
    </w:p>
    <w:p w14:paraId="6CDD5B06" w14:textId="462B71AE" w:rsidR="008A0655" w:rsidRPr="003013DE" w:rsidRDefault="00E96B20" w:rsidP="007B204E">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metabolitos derivados del microbiota intestinal, especialmente los ácidos grasos de cadena corta (AGCC) como el butirato, desempeñan un papel crucial en la regulación inmunológica. En condiciones de eubiosis, estos metabolitos promueven la diferenciación de células Treg y ejercen efectos antiinflamatorios.</w:t>
      </w:r>
      <w:r w:rsidR="008A0655"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En la esclerosis múltiple, la disbiosis intestinal se asocia con una disminución de bacterias productoras de AGCC, lo que reduce estos efectos protectores</w:t>
      </w:r>
      <w:r w:rsidR="008A0655" w:rsidRPr="003013DE">
        <w:rPr>
          <w:rFonts w:ascii="Times New Roman" w:hAnsi="Times New Roman" w:cs="Times New Roman"/>
          <w:bCs/>
          <w:sz w:val="24"/>
          <w:szCs w:val="24"/>
          <w:vertAlign w:val="superscript"/>
        </w:rPr>
        <w:t>71</w:t>
      </w:r>
      <w:r w:rsidRPr="003013DE">
        <w:rPr>
          <w:rFonts w:ascii="Times New Roman" w:hAnsi="Times New Roman" w:cs="Times New Roman"/>
          <w:bCs/>
          <w:sz w:val="24"/>
          <w:szCs w:val="24"/>
        </w:rPr>
        <w:t xml:space="preserve">. </w:t>
      </w:r>
    </w:p>
    <w:p w14:paraId="70761A87" w14:textId="4FCEDC56" w:rsidR="007944F3" w:rsidRPr="003013DE" w:rsidRDefault="00E96B20" w:rsidP="00B637FE">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deficiencia de butirato y otros AGCC contribuye a la pérdida de tolerancia inmunológica y a la exacerbación de la respuesta inflamatoria.</w:t>
      </w:r>
      <w:r w:rsidR="00BD4E03"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 xml:space="preserve">Además, los metabolitos microbianos pueden influir directamente en la función de la microglía y en la integridad de </w:t>
      </w:r>
      <w:r w:rsidRPr="003013DE">
        <w:rPr>
          <w:rFonts w:ascii="Times New Roman" w:hAnsi="Times New Roman" w:cs="Times New Roman"/>
          <w:bCs/>
          <w:sz w:val="24"/>
          <w:szCs w:val="24"/>
        </w:rPr>
        <w:lastRenderedPageBreak/>
        <w:t>la barrera hematoencefálica, reforzando el vínculo entre metabolismo microbiano alterado y autoinmunidad del SNC</w:t>
      </w:r>
      <w:r w:rsidR="008A0655" w:rsidRPr="003013DE">
        <w:rPr>
          <w:rFonts w:ascii="Times New Roman" w:hAnsi="Times New Roman" w:cs="Times New Roman"/>
          <w:bCs/>
          <w:sz w:val="24"/>
          <w:szCs w:val="24"/>
          <w:vertAlign w:val="superscript"/>
        </w:rPr>
        <w:t>71</w:t>
      </w:r>
      <w:r w:rsidRPr="003013DE">
        <w:rPr>
          <w:rFonts w:ascii="Times New Roman" w:hAnsi="Times New Roman" w:cs="Times New Roman"/>
          <w:bCs/>
          <w:sz w:val="24"/>
          <w:szCs w:val="24"/>
        </w:rPr>
        <w:t>.</w:t>
      </w:r>
    </w:p>
    <w:p w14:paraId="127EBC1C" w14:textId="77777777" w:rsidR="005473BE" w:rsidRPr="003013DE" w:rsidRDefault="00852FDA" w:rsidP="00FA61E0">
      <w:pPr>
        <w:pStyle w:val="Ttulo2"/>
        <w:rPr>
          <w:rFonts w:ascii="Times New Roman" w:hAnsi="Times New Roman" w:cs="Times New Roman"/>
          <w:b/>
          <w:color w:val="auto"/>
          <w:sz w:val="24"/>
          <w:szCs w:val="24"/>
        </w:rPr>
      </w:pPr>
      <w:bookmarkStart w:id="86" w:name="_Toc223177172"/>
      <w:r w:rsidRPr="003013DE">
        <w:rPr>
          <w:rFonts w:ascii="Times New Roman" w:hAnsi="Times New Roman" w:cs="Times New Roman"/>
          <w:b/>
          <w:color w:val="auto"/>
          <w:sz w:val="24"/>
          <w:szCs w:val="24"/>
        </w:rPr>
        <w:t>2.11. Factores dietéticos y estilo de vida que modulan el microbiota intestinal</w:t>
      </w:r>
      <w:bookmarkEnd w:id="86"/>
    </w:p>
    <w:p w14:paraId="32D34AED" w14:textId="144E1F5D" w:rsidR="00466FCB" w:rsidRPr="003013DE" w:rsidRDefault="00466FCB" w:rsidP="00B832CA">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microbiota intestinal es un ecosistema dinámico altamente sensible a los factores ambientales, entre los cuales la dieta y el estilo de vida desempeñan un papel determinante. La composición y función del microbiota pueden modificarse de manera significativa en periodos relativamente cortos en respuesta a cambios dietéticos, lo que resalta su carácter plástico y su potencial como objetivo de intervención preventiva y terapéutica</w:t>
      </w:r>
      <w:r w:rsidR="005D5096" w:rsidRPr="003013DE">
        <w:rPr>
          <w:rFonts w:ascii="Times New Roman" w:hAnsi="Times New Roman" w:cs="Times New Roman"/>
          <w:bCs/>
          <w:sz w:val="24"/>
          <w:szCs w:val="24"/>
          <w:vertAlign w:val="superscript"/>
        </w:rPr>
        <w:t>72</w:t>
      </w:r>
      <w:r w:rsidRPr="003013DE">
        <w:rPr>
          <w:rFonts w:ascii="Times New Roman" w:hAnsi="Times New Roman" w:cs="Times New Roman"/>
          <w:bCs/>
          <w:sz w:val="24"/>
          <w:szCs w:val="24"/>
        </w:rPr>
        <w:t>.</w:t>
      </w:r>
    </w:p>
    <w:p w14:paraId="6EEE3F43" w14:textId="69B4F433" w:rsidR="00466FCB" w:rsidRPr="003013DE" w:rsidRDefault="00466FCB" w:rsidP="00466FCB">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evidencia científica actual indica que los patrones alimentarios no solo influyen en la diversidad y estabilidad del microbiota intestinal, sino también en la producción de metabolitos microbianos con efectos locales y sistémicos. En este contexto, dietas saludables, como la dieta mediterránea, se asocian con perfiles microbianos antiinflamatorios, mientras que los patrones alimentarios occidentales favorecen estados de disbiosis vinculados a enfermedades metabólicas, inflamatorias y neurológicas</w:t>
      </w:r>
      <w:r w:rsidR="005D5096" w:rsidRPr="003013DE">
        <w:rPr>
          <w:rFonts w:ascii="Times New Roman" w:hAnsi="Times New Roman" w:cs="Times New Roman"/>
          <w:bCs/>
          <w:sz w:val="24"/>
          <w:szCs w:val="24"/>
          <w:vertAlign w:val="superscript"/>
        </w:rPr>
        <w:t>73</w:t>
      </w:r>
      <w:r w:rsidRPr="003013DE">
        <w:rPr>
          <w:rFonts w:ascii="Times New Roman" w:hAnsi="Times New Roman" w:cs="Times New Roman"/>
          <w:bCs/>
          <w:sz w:val="24"/>
          <w:szCs w:val="24"/>
        </w:rPr>
        <w:t>.</w:t>
      </w:r>
    </w:p>
    <w:p w14:paraId="63B55C4F" w14:textId="53690128" w:rsidR="00466FCB" w:rsidRPr="003013DE" w:rsidRDefault="00466FCB" w:rsidP="00FA61E0">
      <w:pPr>
        <w:pStyle w:val="Ttulo3"/>
        <w:rPr>
          <w:rFonts w:ascii="Times New Roman" w:hAnsi="Times New Roman" w:cs="Times New Roman"/>
          <w:b/>
          <w:color w:val="auto"/>
          <w:sz w:val="24"/>
          <w:szCs w:val="24"/>
        </w:rPr>
      </w:pPr>
      <w:bookmarkStart w:id="87" w:name="_Toc223177173"/>
      <w:r w:rsidRPr="003013DE">
        <w:rPr>
          <w:rFonts w:ascii="Times New Roman" w:hAnsi="Times New Roman" w:cs="Times New Roman"/>
          <w:b/>
          <w:color w:val="auto"/>
          <w:sz w:val="24"/>
          <w:szCs w:val="24"/>
        </w:rPr>
        <w:t>2.11.1 Dieta mediterránea y microbiota intestinal</w:t>
      </w:r>
      <w:bookmarkEnd w:id="87"/>
    </w:p>
    <w:p w14:paraId="74561494" w14:textId="1FE57CE8" w:rsidR="00466FCB" w:rsidRPr="003013DE" w:rsidRDefault="00466FCB" w:rsidP="00B832CA">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dieta mediterránea se caracteriza por un alto consumo de frutas, verduras, legumbres, cereales integrales, aceite de oliva, frutos secos y pescado, junto con una ingesta moderada de productos lácteos y baja de carnes rojas y alimentos ultraprocesados. Este patrón dietético ha sido consistentemente asociado con beneficios metabólicos, cardiovasculares y neurológicos</w:t>
      </w:r>
      <w:r w:rsidR="005D5096" w:rsidRPr="003013DE">
        <w:rPr>
          <w:rFonts w:ascii="Times New Roman" w:hAnsi="Times New Roman" w:cs="Times New Roman"/>
          <w:bCs/>
          <w:sz w:val="24"/>
          <w:szCs w:val="24"/>
          <w:vertAlign w:val="superscript"/>
        </w:rPr>
        <w:t>74</w:t>
      </w:r>
      <w:r w:rsidRPr="003013DE">
        <w:rPr>
          <w:rFonts w:ascii="Times New Roman" w:hAnsi="Times New Roman" w:cs="Times New Roman"/>
          <w:bCs/>
          <w:sz w:val="24"/>
          <w:szCs w:val="24"/>
        </w:rPr>
        <w:t>.</w:t>
      </w:r>
    </w:p>
    <w:p w14:paraId="09815BED" w14:textId="08023F25" w:rsidR="00466FCB" w:rsidRPr="003013DE" w:rsidRDefault="00466FCB" w:rsidP="00466FCB">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Desde la perspectiva del microbiota intestinal, la dieta mediterránea promueve un aumento de la diversidad microbiana y favorece la abundancia de bacterias beneficiosas productoras de ácidos grasos de cadena corta, como Faecalibacterium prausnitzii, Roseburia y Bifidobacterium. Estos microorganismos contribuyen a la integridad de la barrera intestinal y a la regulación de la respuesta inmunológica. Además, la adherencia a la dieta mediterránea se asocia con una reducción de marcadores inflamatorios sistémicos y con un perfil microbiano antiinflamatorio, lo que refuerza su papel protector frente a enfermedades crónicas, incluidas las neurodegenerativas y neuroinflamatorias</w:t>
      </w:r>
      <w:r w:rsidR="005D5096" w:rsidRPr="003013DE">
        <w:rPr>
          <w:rFonts w:ascii="Times New Roman" w:hAnsi="Times New Roman" w:cs="Times New Roman"/>
          <w:bCs/>
          <w:sz w:val="24"/>
          <w:szCs w:val="24"/>
          <w:vertAlign w:val="superscript"/>
        </w:rPr>
        <w:t>74</w:t>
      </w:r>
      <w:r w:rsidRPr="003013DE">
        <w:rPr>
          <w:rFonts w:ascii="Times New Roman" w:hAnsi="Times New Roman" w:cs="Times New Roman"/>
          <w:bCs/>
          <w:sz w:val="24"/>
          <w:szCs w:val="24"/>
        </w:rPr>
        <w:t>.</w:t>
      </w:r>
    </w:p>
    <w:p w14:paraId="36269AAB" w14:textId="43CDD2FC" w:rsidR="00466FCB" w:rsidRPr="003013DE" w:rsidRDefault="00466FCB" w:rsidP="00FA61E0">
      <w:pPr>
        <w:pStyle w:val="Ttulo3"/>
        <w:rPr>
          <w:rFonts w:ascii="Times New Roman" w:hAnsi="Times New Roman" w:cs="Times New Roman"/>
          <w:b/>
          <w:color w:val="auto"/>
          <w:sz w:val="24"/>
          <w:szCs w:val="24"/>
        </w:rPr>
      </w:pPr>
      <w:bookmarkStart w:id="88" w:name="_Toc223177174"/>
      <w:r w:rsidRPr="003013DE">
        <w:rPr>
          <w:rFonts w:ascii="Times New Roman" w:hAnsi="Times New Roman" w:cs="Times New Roman"/>
          <w:b/>
          <w:color w:val="auto"/>
          <w:sz w:val="24"/>
          <w:szCs w:val="24"/>
        </w:rPr>
        <w:lastRenderedPageBreak/>
        <w:t>2.11.2 Consumo de fibra dietética y producción de metabolitos beneficiosos</w:t>
      </w:r>
      <w:bookmarkEnd w:id="88"/>
    </w:p>
    <w:p w14:paraId="7144E253" w14:textId="1A1FBC7A" w:rsidR="002F6182" w:rsidRPr="003013DE" w:rsidRDefault="00466FCB" w:rsidP="00B832CA">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fibra dietética constituye uno de los principales sustratos fermentables para el microbiota intestinal. Su consumo adecuado favorece el crecimiento de bacterias sacarolíticas y la producción de ácidos grasos de cadena corta (AGCC), como el butirato, el propionato y el acetato.</w:t>
      </w:r>
      <w:r w:rsidR="002F6182"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El butirato desempeña un papel central en la salud intestinal al servir como fuente de energía para los colonocitos, fortalecer la barrera epitelial y ejercer efectos antiinflamatorios tanto locales como sistémicos</w:t>
      </w:r>
      <w:r w:rsidR="005D5096" w:rsidRPr="003013DE">
        <w:rPr>
          <w:rFonts w:ascii="Times New Roman" w:hAnsi="Times New Roman" w:cs="Times New Roman"/>
          <w:bCs/>
          <w:sz w:val="24"/>
          <w:szCs w:val="24"/>
          <w:vertAlign w:val="superscript"/>
        </w:rPr>
        <w:t>75</w:t>
      </w:r>
      <w:r w:rsidRPr="003013DE">
        <w:rPr>
          <w:rFonts w:ascii="Times New Roman" w:hAnsi="Times New Roman" w:cs="Times New Roman"/>
          <w:bCs/>
          <w:sz w:val="24"/>
          <w:szCs w:val="24"/>
        </w:rPr>
        <w:t xml:space="preserve">. </w:t>
      </w:r>
    </w:p>
    <w:p w14:paraId="35461174" w14:textId="439EAC32" w:rsidR="00466FCB" w:rsidRPr="003013DE" w:rsidRDefault="00466FCB" w:rsidP="002F6182">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Asimismo, los AGCC influyen en la diferenciación de células T reguladoras y en la modulación de la inflamación del sistema nervioso central.</w:t>
      </w:r>
      <w:r w:rsidR="002F6182"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Dietas pobres en fibra, comunes en contextos occidentales, se asocian con una disminución de la diversidad microbiana y una reducción de bacterias productoras de AGCC, favoreciendo estados de disbiosis y un aumento del riesgo de enfermedades inflamatorias y metabólicas</w:t>
      </w:r>
      <w:r w:rsidR="005D5096" w:rsidRPr="003013DE">
        <w:rPr>
          <w:rFonts w:ascii="Times New Roman" w:hAnsi="Times New Roman" w:cs="Times New Roman"/>
          <w:bCs/>
          <w:sz w:val="24"/>
          <w:szCs w:val="24"/>
          <w:vertAlign w:val="superscript"/>
        </w:rPr>
        <w:t>75</w:t>
      </w:r>
      <w:r w:rsidRPr="003013DE">
        <w:rPr>
          <w:rFonts w:ascii="Times New Roman" w:hAnsi="Times New Roman" w:cs="Times New Roman"/>
          <w:bCs/>
          <w:sz w:val="24"/>
          <w:szCs w:val="24"/>
        </w:rPr>
        <w:t>.</w:t>
      </w:r>
    </w:p>
    <w:p w14:paraId="5B1D91B4" w14:textId="2205EC3E" w:rsidR="00466FCB" w:rsidRPr="003013DE" w:rsidRDefault="002F6182" w:rsidP="00FA61E0">
      <w:pPr>
        <w:pStyle w:val="Ttulo3"/>
        <w:rPr>
          <w:rFonts w:ascii="Times New Roman" w:hAnsi="Times New Roman" w:cs="Times New Roman"/>
          <w:b/>
          <w:color w:val="auto"/>
          <w:sz w:val="24"/>
          <w:szCs w:val="24"/>
        </w:rPr>
      </w:pPr>
      <w:bookmarkStart w:id="89" w:name="_Toc223177175"/>
      <w:r w:rsidRPr="003013DE">
        <w:rPr>
          <w:rFonts w:ascii="Times New Roman" w:hAnsi="Times New Roman" w:cs="Times New Roman"/>
          <w:b/>
          <w:color w:val="auto"/>
          <w:sz w:val="24"/>
          <w:szCs w:val="24"/>
        </w:rPr>
        <w:t xml:space="preserve">2.11.3 </w:t>
      </w:r>
      <w:r w:rsidR="00466FCB" w:rsidRPr="003013DE">
        <w:rPr>
          <w:rFonts w:ascii="Times New Roman" w:hAnsi="Times New Roman" w:cs="Times New Roman"/>
          <w:b/>
          <w:color w:val="auto"/>
          <w:sz w:val="24"/>
          <w:szCs w:val="24"/>
        </w:rPr>
        <w:t>Probióticos y su impacto en la salud intestinal</w:t>
      </w:r>
      <w:bookmarkEnd w:id="89"/>
    </w:p>
    <w:p w14:paraId="5B7B000A" w14:textId="062646A5" w:rsidR="00C16F35" w:rsidRPr="003013DE" w:rsidRDefault="00466FCB" w:rsidP="00B832CA">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probióticos se definen como microorganismos vivos que, cuando se administran en cantidades adecuadas, confieren beneficios a la salud del hospedador. Diversas cepas de Lactobacillus y Bifidobacterium han demostrado efectos positivos sobre la composición y función del microbiota intestinal.</w:t>
      </w:r>
      <w:r w:rsidR="00C16F35"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El consumo de probióticos puede contribuir a restaurar el equilibrio microbiano en estados de disbiosis, mejorar la integridad de la barrera intestinal y modular la respuesta inmunológica</w:t>
      </w:r>
      <w:r w:rsidR="005D5096" w:rsidRPr="003013DE">
        <w:rPr>
          <w:rFonts w:ascii="Times New Roman" w:hAnsi="Times New Roman" w:cs="Times New Roman"/>
          <w:bCs/>
          <w:sz w:val="24"/>
          <w:szCs w:val="24"/>
          <w:vertAlign w:val="superscript"/>
        </w:rPr>
        <w:t>76</w:t>
      </w:r>
      <w:r w:rsidRPr="003013DE">
        <w:rPr>
          <w:rFonts w:ascii="Times New Roman" w:hAnsi="Times New Roman" w:cs="Times New Roman"/>
          <w:bCs/>
          <w:sz w:val="24"/>
          <w:szCs w:val="24"/>
        </w:rPr>
        <w:t xml:space="preserve">. </w:t>
      </w:r>
    </w:p>
    <w:p w14:paraId="69AD35C2" w14:textId="547376FE" w:rsidR="00466FCB" w:rsidRPr="003013DE" w:rsidRDefault="00466FCB" w:rsidP="00C16F35">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Además, algunas cepas probióticas producen metabolitos con propiedades antiinflamatorias y neuroactivas, lo que las vincula con el eje intestino–cerebro.</w:t>
      </w:r>
      <w:r w:rsidR="00C16F35"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No obstante, la evidencia sugiere que los efectos de los probióticos son cepa-específicos y dependen del contexto individual, incluyendo la dieta basal y el estado del microbiota preexistente. Por ello, su uso debe considerarse como parte de una estrategia integral de modulación microbiana</w:t>
      </w:r>
      <w:r w:rsidR="005D5096" w:rsidRPr="003013DE">
        <w:rPr>
          <w:rFonts w:ascii="Times New Roman" w:hAnsi="Times New Roman" w:cs="Times New Roman"/>
          <w:bCs/>
          <w:sz w:val="24"/>
          <w:szCs w:val="24"/>
          <w:vertAlign w:val="superscript"/>
        </w:rPr>
        <w:t>76</w:t>
      </w:r>
      <w:r w:rsidRPr="003013DE">
        <w:rPr>
          <w:rFonts w:ascii="Times New Roman" w:hAnsi="Times New Roman" w:cs="Times New Roman"/>
          <w:bCs/>
          <w:sz w:val="24"/>
          <w:szCs w:val="24"/>
        </w:rPr>
        <w:t>.</w:t>
      </w:r>
    </w:p>
    <w:p w14:paraId="54F4940F" w14:textId="67A2C800" w:rsidR="00466FCB" w:rsidRPr="003013DE" w:rsidRDefault="00C16F35" w:rsidP="00FA61E0">
      <w:pPr>
        <w:pStyle w:val="Ttulo3"/>
        <w:rPr>
          <w:rFonts w:ascii="Times New Roman" w:hAnsi="Times New Roman" w:cs="Times New Roman"/>
          <w:b/>
          <w:color w:val="auto"/>
          <w:sz w:val="24"/>
          <w:szCs w:val="24"/>
        </w:rPr>
      </w:pPr>
      <w:bookmarkStart w:id="90" w:name="_Toc223177176"/>
      <w:r w:rsidRPr="003013DE">
        <w:rPr>
          <w:rFonts w:ascii="Times New Roman" w:hAnsi="Times New Roman" w:cs="Times New Roman"/>
          <w:b/>
          <w:color w:val="auto"/>
          <w:sz w:val="24"/>
          <w:szCs w:val="24"/>
        </w:rPr>
        <w:t xml:space="preserve">2.11.4 </w:t>
      </w:r>
      <w:r w:rsidR="00466FCB" w:rsidRPr="003013DE">
        <w:rPr>
          <w:rFonts w:ascii="Times New Roman" w:hAnsi="Times New Roman" w:cs="Times New Roman"/>
          <w:b/>
          <w:color w:val="auto"/>
          <w:sz w:val="24"/>
          <w:szCs w:val="24"/>
        </w:rPr>
        <w:t>Prebióticos y sinergia con el microbiota intestinal</w:t>
      </w:r>
      <w:bookmarkEnd w:id="90"/>
    </w:p>
    <w:p w14:paraId="7102A172" w14:textId="284855A2" w:rsidR="00466FCB" w:rsidRPr="003013DE" w:rsidRDefault="00466FCB" w:rsidP="00B832CA">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prebióticos son componentes dietéticos no digeribles, como la inulina, los fructooligosacáridos y los galactooligosacáridos, que estimulan selectivamente el crecimiento y la actividad de bacterias beneficiosas en el intestino.</w:t>
      </w:r>
      <w:r w:rsidR="00DE6604"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 xml:space="preserve">La suplementación con </w:t>
      </w:r>
      <w:r w:rsidRPr="003013DE">
        <w:rPr>
          <w:rFonts w:ascii="Times New Roman" w:hAnsi="Times New Roman" w:cs="Times New Roman"/>
          <w:bCs/>
          <w:sz w:val="24"/>
          <w:szCs w:val="24"/>
        </w:rPr>
        <w:lastRenderedPageBreak/>
        <w:t>prebióticos ha demostrado aumentar la abundancia de Bifidobacterium y Lactobacillus, así como potenciar la producción de AGCC. Estos efectos se traducen en mejoras en la función inmunológica, la regulación metabólica y la reducción de la inflamación sistémica.</w:t>
      </w:r>
      <w:r w:rsidR="00DE6604"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El uso combinado de probióticos y prebióticos, conocido como simbióticos, ha mostrado efectos sinérgicos sobre la salud intestinal, aunque se requiere mayor evidencia clínica para establecer recomendaciones específicas en distintas patologías</w:t>
      </w:r>
      <w:r w:rsidR="005D5096" w:rsidRPr="003013DE">
        <w:rPr>
          <w:rFonts w:ascii="Times New Roman" w:hAnsi="Times New Roman" w:cs="Times New Roman"/>
          <w:bCs/>
          <w:sz w:val="24"/>
          <w:szCs w:val="24"/>
          <w:vertAlign w:val="superscript"/>
        </w:rPr>
        <w:t>74-76</w:t>
      </w:r>
      <w:r w:rsidRPr="003013DE">
        <w:rPr>
          <w:rFonts w:ascii="Times New Roman" w:hAnsi="Times New Roman" w:cs="Times New Roman"/>
          <w:bCs/>
          <w:sz w:val="24"/>
          <w:szCs w:val="24"/>
        </w:rPr>
        <w:t>.</w:t>
      </w:r>
    </w:p>
    <w:p w14:paraId="6BE7972F" w14:textId="2B7EC023" w:rsidR="00466FCB" w:rsidRPr="003013DE" w:rsidRDefault="00DE6604" w:rsidP="00FA61E0">
      <w:pPr>
        <w:pStyle w:val="Ttulo3"/>
        <w:rPr>
          <w:rFonts w:ascii="Times New Roman" w:hAnsi="Times New Roman" w:cs="Times New Roman"/>
          <w:b/>
          <w:color w:val="auto"/>
          <w:sz w:val="24"/>
          <w:szCs w:val="24"/>
        </w:rPr>
      </w:pPr>
      <w:bookmarkStart w:id="91" w:name="_Toc223177177"/>
      <w:r w:rsidRPr="003013DE">
        <w:rPr>
          <w:rFonts w:ascii="Times New Roman" w:hAnsi="Times New Roman" w:cs="Times New Roman"/>
          <w:b/>
          <w:color w:val="auto"/>
          <w:sz w:val="24"/>
          <w:szCs w:val="24"/>
        </w:rPr>
        <w:t xml:space="preserve">2.11.5 </w:t>
      </w:r>
      <w:r w:rsidR="00466FCB" w:rsidRPr="003013DE">
        <w:rPr>
          <w:rFonts w:ascii="Times New Roman" w:hAnsi="Times New Roman" w:cs="Times New Roman"/>
          <w:b/>
          <w:color w:val="auto"/>
          <w:sz w:val="24"/>
          <w:szCs w:val="24"/>
        </w:rPr>
        <w:t>Patrones alimentarios occidentales y disbiosis intestinal</w:t>
      </w:r>
      <w:bookmarkEnd w:id="91"/>
    </w:p>
    <w:p w14:paraId="3EF4765D" w14:textId="1C58C01F" w:rsidR="000C5AAF" w:rsidRPr="003013DE" w:rsidRDefault="00466FCB" w:rsidP="00B832CA">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patrón alimentario occidental, caracterizado por un alto consumo de grasas saturadas, azúcares refinados, carnes procesadas y alimentos ultraprocesados, se asocia consistentemente con alteraciones negativas del microbiota intestinal. Este tipo de dieta favorece la proliferación de bacterias proinflamatorias y reduce la diversidad microbiana.</w:t>
      </w:r>
      <w:r w:rsidR="00DE6604"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La ingesta elevada de grasas saturadas y azúcares simples promueve la inflamación intestinal, el aumento de la permeabilidad epitelial y la translocación de endotoxinas bacterianas hacia la circulación sistémica</w:t>
      </w:r>
      <w:r w:rsidR="00966703" w:rsidRPr="003013DE">
        <w:rPr>
          <w:rFonts w:ascii="Times New Roman" w:hAnsi="Times New Roman" w:cs="Times New Roman"/>
          <w:bCs/>
          <w:sz w:val="24"/>
          <w:szCs w:val="24"/>
          <w:vertAlign w:val="superscript"/>
        </w:rPr>
        <w:t>75</w:t>
      </w:r>
      <w:r w:rsidRPr="003013DE">
        <w:rPr>
          <w:rFonts w:ascii="Times New Roman" w:hAnsi="Times New Roman" w:cs="Times New Roman"/>
          <w:bCs/>
          <w:sz w:val="24"/>
          <w:szCs w:val="24"/>
        </w:rPr>
        <w:t>.</w:t>
      </w:r>
    </w:p>
    <w:p w14:paraId="3FA33B18" w14:textId="0EAC5187" w:rsidR="00466FCB" w:rsidRPr="003013DE" w:rsidRDefault="00466FCB" w:rsidP="00DE6604">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 Este fenómeno contribuye a la inflamación crónica de bajo grado.</w:t>
      </w:r>
      <w:r w:rsidR="00DE6604"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Estos cambios microbianos se han vinculado con un mayor riesgo de obesidad, diabetes tipo 2, enfermedades cardiovasculares y trastornos neuroinflamatorios, lo que resalta la importancia del patrón dietético como modulador clave del microbiota intestinal y de la salud global</w:t>
      </w:r>
      <w:r w:rsidR="00966703" w:rsidRPr="003013DE">
        <w:rPr>
          <w:rFonts w:ascii="Times New Roman" w:hAnsi="Times New Roman" w:cs="Times New Roman"/>
          <w:bCs/>
          <w:sz w:val="24"/>
          <w:szCs w:val="24"/>
          <w:vertAlign w:val="superscript"/>
        </w:rPr>
        <w:t>77</w:t>
      </w:r>
      <w:r w:rsidRPr="003013DE">
        <w:rPr>
          <w:rFonts w:ascii="Times New Roman" w:hAnsi="Times New Roman" w:cs="Times New Roman"/>
          <w:bCs/>
          <w:sz w:val="24"/>
          <w:szCs w:val="24"/>
        </w:rPr>
        <w:t>.</w:t>
      </w:r>
    </w:p>
    <w:p w14:paraId="6F5F5630" w14:textId="5F42A335" w:rsidR="00466FCB" w:rsidRPr="003013DE" w:rsidRDefault="000C5AAF" w:rsidP="00FA61E0">
      <w:pPr>
        <w:pStyle w:val="Ttulo3"/>
        <w:rPr>
          <w:rFonts w:ascii="Times New Roman" w:hAnsi="Times New Roman" w:cs="Times New Roman"/>
          <w:b/>
          <w:color w:val="auto"/>
          <w:sz w:val="24"/>
          <w:szCs w:val="24"/>
        </w:rPr>
      </w:pPr>
      <w:bookmarkStart w:id="92" w:name="_Toc223177178"/>
      <w:r w:rsidRPr="003013DE">
        <w:rPr>
          <w:rFonts w:ascii="Times New Roman" w:hAnsi="Times New Roman" w:cs="Times New Roman"/>
          <w:b/>
          <w:color w:val="auto"/>
          <w:sz w:val="24"/>
          <w:szCs w:val="24"/>
        </w:rPr>
        <w:t xml:space="preserve">2.11.6 </w:t>
      </w:r>
      <w:r w:rsidR="00466FCB" w:rsidRPr="003013DE">
        <w:rPr>
          <w:rFonts w:ascii="Times New Roman" w:hAnsi="Times New Roman" w:cs="Times New Roman"/>
          <w:b/>
          <w:color w:val="auto"/>
          <w:sz w:val="24"/>
          <w:szCs w:val="24"/>
        </w:rPr>
        <w:t>Estilo de vida y su interacción con la dieta</w:t>
      </w:r>
      <w:bookmarkEnd w:id="92"/>
    </w:p>
    <w:p w14:paraId="377A67EC" w14:textId="07FF1269" w:rsidR="00466FCB" w:rsidRPr="003013DE" w:rsidRDefault="00466FCB" w:rsidP="00C00C0D">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Además de la dieta, otros factores del estilo de vida, como la actividad física, el estrés crónico, el sueño y el uso de antibióticos, influyen de manera significativa en la composición del microbiota intestinal. La actividad física regular se asocia con una mayor diversidad microbiana y un aumento de bacterias beneficiosas</w:t>
      </w:r>
      <w:r w:rsidR="00966703" w:rsidRPr="003013DE">
        <w:rPr>
          <w:rFonts w:ascii="Times New Roman" w:hAnsi="Times New Roman" w:cs="Times New Roman"/>
          <w:bCs/>
          <w:sz w:val="24"/>
          <w:szCs w:val="24"/>
          <w:vertAlign w:val="superscript"/>
        </w:rPr>
        <w:t>77</w:t>
      </w:r>
      <w:r w:rsidRPr="003013DE">
        <w:rPr>
          <w:rFonts w:ascii="Times New Roman" w:hAnsi="Times New Roman" w:cs="Times New Roman"/>
          <w:bCs/>
          <w:sz w:val="24"/>
          <w:szCs w:val="24"/>
        </w:rPr>
        <w:t>.</w:t>
      </w:r>
    </w:p>
    <w:p w14:paraId="4BFF05B3" w14:textId="33EF2A03" w:rsidR="005473BE" w:rsidRPr="003013DE" w:rsidRDefault="00466FCB" w:rsidP="00E3276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Por el contrario, el estrés crónico y la privación del sueño pueden alterar la motilidad intestinal, la secreción hormonal y la función inmunológica, favoreciendo la disbiosis. Estos factores interactúan de forma compleja con la dieta, amplificando o atenuando sus efectos sobre el microbiota.</w:t>
      </w:r>
      <w:r w:rsidR="00E3276A"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En conjunto, la evidencia subraya la necesidad de un enfoque integral que combine patrones dietéticos saludables y estilos de vida adecuados para mantener la homeostasis del microbiota intestinal y prevenir enfermedades asociadas a la disbiosis</w:t>
      </w:r>
      <w:r w:rsidR="00966703" w:rsidRPr="003013DE">
        <w:rPr>
          <w:rFonts w:ascii="Times New Roman" w:hAnsi="Times New Roman" w:cs="Times New Roman"/>
          <w:bCs/>
          <w:sz w:val="24"/>
          <w:szCs w:val="24"/>
          <w:vertAlign w:val="superscript"/>
        </w:rPr>
        <w:t>77</w:t>
      </w:r>
      <w:r w:rsidRPr="003013DE">
        <w:rPr>
          <w:rFonts w:ascii="Times New Roman" w:hAnsi="Times New Roman" w:cs="Times New Roman"/>
          <w:bCs/>
          <w:sz w:val="24"/>
          <w:szCs w:val="24"/>
        </w:rPr>
        <w:t>.</w:t>
      </w:r>
    </w:p>
    <w:p w14:paraId="37092338" w14:textId="23032DC1" w:rsidR="00852FDA" w:rsidRPr="003013DE" w:rsidRDefault="00852FDA" w:rsidP="00FA61E0">
      <w:pPr>
        <w:pStyle w:val="Ttulo2"/>
        <w:rPr>
          <w:rFonts w:ascii="Times New Roman" w:hAnsi="Times New Roman" w:cs="Times New Roman"/>
          <w:b/>
          <w:color w:val="auto"/>
          <w:sz w:val="24"/>
          <w:szCs w:val="24"/>
        </w:rPr>
      </w:pPr>
      <w:bookmarkStart w:id="93" w:name="_Toc223177179"/>
      <w:r w:rsidRPr="003013DE">
        <w:rPr>
          <w:rFonts w:ascii="Times New Roman" w:hAnsi="Times New Roman" w:cs="Times New Roman"/>
          <w:b/>
          <w:color w:val="auto"/>
          <w:sz w:val="24"/>
          <w:szCs w:val="24"/>
        </w:rPr>
        <w:lastRenderedPageBreak/>
        <w:t>2.1</w:t>
      </w:r>
      <w:r w:rsidR="00521966" w:rsidRPr="003013DE">
        <w:rPr>
          <w:rFonts w:ascii="Times New Roman" w:hAnsi="Times New Roman" w:cs="Times New Roman"/>
          <w:b/>
          <w:color w:val="auto"/>
          <w:sz w:val="24"/>
          <w:szCs w:val="24"/>
        </w:rPr>
        <w:t xml:space="preserve">2. </w:t>
      </w:r>
      <w:r w:rsidRPr="003013DE">
        <w:rPr>
          <w:rFonts w:ascii="Times New Roman" w:hAnsi="Times New Roman" w:cs="Times New Roman"/>
          <w:b/>
          <w:color w:val="auto"/>
          <w:sz w:val="24"/>
          <w:szCs w:val="24"/>
        </w:rPr>
        <w:t>Biomarcadores microbianos en enfermedades neurodegenerativas</w:t>
      </w:r>
      <w:bookmarkEnd w:id="93"/>
    </w:p>
    <w:p w14:paraId="2A7613AE" w14:textId="30132DC4" w:rsidR="00945A3A" w:rsidRPr="003013DE" w:rsidRDefault="00945A3A" w:rsidP="00C00C0D">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estudio de los biomarcadores microbianos ha emergido como un campo prometedor en la investigación de las enfermedades neurodegenerativas, dada la creciente evidencia que vincula la disbiosis intestinal con procesos de neuroinflamación, neurodegeneración y deterioro cognitivo. Estos biomarcadores permiten reflejar de manera indirecta la interacción entre el microbiota intestinal y el sistema nervioso central, ofreciendo nuevas oportunidades para el diagnóstico temprano, la estratificación de riesgo y el seguimiento de la progresión de la enfermedad</w:t>
      </w:r>
      <w:r w:rsidR="004D2C69"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0EDDB841" w14:textId="343FEE6A" w:rsidR="00945A3A" w:rsidRPr="003013DE" w:rsidRDefault="00945A3A" w:rsidP="00945A3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biomarcadores asociados al microbiota pueden detectarse en heces, sangre periférica y líquido cefalorraquídeo (LCR), y comprenden tanto componentes estructurales microbianos como metabolitos derivados de la actividad bacteriana. Su relevancia radica en que muchos de estos indicadores preceden a las manifestaciones clínicas evidentes, lo que los convierte en herramientas potenciales para la identificación precoz del daño neurológico</w:t>
      </w:r>
      <w:r w:rsidR="004D2C69" w:rsidRPr="003013DE">
        <w:rPr>
          <w:rFonts w:ascii="Times New Roman" w:hAnsi="Times New Roman" w:cs="Times New Roman"/>
          <w:bCs/>
          <w:sz w:val="24"/>
          <w:szCs w:val="24"/>
          <w:vertAlign w:val="superscript"/>
        </w:rPr>
        <w:t>34</w:t>
      </w:r>
      <w:r w:rsidRPr="003013DE">
        <w:rPr>
          <w:rFonts w:ascii="Times New Roman" w:hAnsi="Times New Roman" w:cs="Times New Roman"/>
          <w:bCs/>
          <w:sz w:val="24"/>
          <w:szCs w:val="24"/>
        </w:rPr>
        <w:t>.</w:t>
      </w:r>
    </w:p>
    <w:p w14:paraId="0A18BAA0" w14:textId="2E51568F" w:rsidR="00945A3A" w:rsidRPr="003013DE" w:rsidRDefault="00BA49C8" w:rsidP="00FA61E0">
      <w:pPr>
        <w:pStyle w:val="Ttulo3"/>
        <w:rPr>
          <w:rFonts w:ascii="Times New Roman" w:hAnsi="Times New Roman" w:cs="Times New Roman"/>
          <w:b/>
          <w:color w:val="auto"/>
          <w:sz w:val="24"/>
          <w:szCs w:val="24"/>
        </w:rPr>
      </w:pPr>
      <w:bookmarkStart w:id="94" w:name="_Toc223177180"/>
      <w:r w:rsidRPr="003013DE">
        <w:rPr>
          <w:rFonts w:ascii="Times New Roman" w:hAnsi="Times New Roman" w:cs="Times New Roman"/>
          <w:b/>
          <w:color w:val="auto"/>
          <w:sz w:val="24"/>
          <w:szCs w:val="24"/>
        </w:rPr>
        <w:t xml:space="preserve">2.12.1 </w:t>
      </w:r>
      <w:r w:rsidR="00945A3A" w:rsidRPr="003013DE">
        <w:rPr>
          <w:rFonts w:ascii="Times New Roman" w:hAnsi="Times New Roman" w:cs="Times New Roman"/>
          <w:b/>
          <w:color w:val="auto"/>
          <w:sz w:val="24"/>
          <w:szCs w:val="24"/>
        </w:rPr>
        <w:t>Biomarcadores microbianos fecales</w:t>
      </w:r>
      <w:bookmarkEnd w:id="94"/>
    </w:p>
    <w:p w14:paraId="5DA74B34" w14:textId="7459239D" w:rsidR="00945A3A" w:rsidRPr="003013DE" w:rsidRDefault="00945A3A" w:rsidP="00C00C0D">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Los biomarcadores fecales constituyen una de las fuentes más estudiadas debido a su accesibilidad y a su capacidad para reflejar directamente la composición del microbiota intestinal. Diversos estudios han identificado patrones específicos de disbiosis en pacientes con enfermedades neurodegenerativas, caracterizados por una reducción de bacterias beneficiosas productoras de ácidos grasos de cadena corta, como Faecalibacterium prausnitzii, Roseburia y Eubacterium rectale</w:t>
      </w:r>
      <w:r w:rsidR="00503B1D" w:rsidRPr="003013DE">
        <w:rPr>
          <w:rFonts w:ascii="Times New Roman" w:hAnsi="Times New Roman" w:cs="Times New Roman"/>
          <w:bCs/>
          <w:sz w:val="24"/>
          <w:szCs w:val="24"/>
          <w:vertAlign w:val="superscript"/>
        </w:rPr>
        <w:t>58</w:t>
      </w:r>
      <w:r w:rsidRPr="003013DE">
        <w:rPr>
          <w:rFonts w:ascii="Times New Roman" w:hAnsi="Times New Roman" w:cs="Times New Roman"/>
          <w:bCs/>
          <w:sz w:val="24"/>
          <w:szCs w:val="24"/>
        </w:rPr>
        <w:t>.</w:t>
      </w:r>
    </w:p>
    <w:p w14:paraId="0282858F" w14:textId="055AFFCD" w:rsidR="00945A3A" w:rsidRPr="003013DE" w:rsidRDefault="00945A3A" w:rsidP="00BA49C8">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la enfermedad de Alzheimer, se ha descrito una disminución significativa de bacterias antiinflamatorias y un aumento relativo de géneros proinflamatorios como Escherichia/Shigella y Proteobacteria, lo cual se asocia con mayor permeabilidad intestinal y activación de la respuesta inmune sistémica. Estos cambios microbianos se correlacionan con niveles elevados de citocinas proinflamatorias y con un mayor deterioro cognitivo</w:t>
      </w:r>
      <w:r w:rsidR="00503B1D" w:rsidRPr="003013DE">
        <w:rPr>
          <w:rFonts w:ascii="Times New Roman" w:hAnsi="Times New Roman" w:cs="Times New Roman"/>
          <w:bCs/>
          <w:sz w:val="24"/>
          <w:szCs w:val="24"/>
          <w:vertAlign w:val="superscript"/>
        </w:rPr>
        <w:t>58</w:t>
      </w:r>
      <w:r w:rsidRPr="003013DE">
        <w:rPr>
          <w:rFonts w:ascii="Times New Roman" w:hAnsi="Times New Roman" w:cs="Times New Roman"/>
          <w:bCs/>
          <w:sz w:val="24"/>
          <w:szCs w:val="24"/>
        </w:rPr>
        <w:t>.</w:t>
      </w:r>
    </w:p>
    <w:p w14:paraId="1A328DA8" w14:textId="0F51F4AB" w:rsidR="00A45B26" w:rsidRPr="003013DE" w:rsidRDefault="00945A3A" w:rsidP="00A45B26">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En la enfermedad de Parkinson, los análisis fecales han revelado una reducción de Prevotella y un incremento de Enterobacteriaceae, hallazgos que se asocian con la gravedad de los síntomas motores y no motores. Estos perfiles microbianos fecales se consideran </w:t>
      </w:r>
      <w:r w:rsidRPr="003013DE">
        <w:rPr>
          <w:rFonts w:ascii="Times New Roman" w:hAnsi="Times New Roman" w:cs="Times New Roman"/>
          <w:bCs/>
          <w:sz w:val="24"/>
          <w:szCs w:val="24"/>
        </w:rPr>
        <w:lastRenderedPageBreak/>
        <w:t>actualmente biomarcadores candidatos para la detección temprana y el monitoreo de la progresión de la enfermedad</w:t>
      </w:r>
      <w:r w:rsidR="00503B1D" w:rsidRPr="003013DE">
        <w:rPr>
          <w:rFonts w:ascii="Times New Roman" w:hAnsi="Times New Roman" w:cs="Times New Roman"/>
          <w:bCs/>
          <w:sz w:val="24"/>
          <w:szCs w:val="24"/>
          <w:vertAlign w:val="superscript"/>
        </w:rPr>
        <w:t>78</w:t>
      </w:r>
      <w:r w:rsidRPr="003013DE">
        <w:rPr>
          <w:rFonts w:ascii="Times New Roman" w:hAnsi="Times New Roman" w:cs="Times New Roman"/>
          <w:bCs/>
          <w:sz w:val="24"/>
          <w:szCs w:val="24"/>
        </w:rPr>
        <w:t>.</w:t>
      </w:r>
    </w:p>
    <w:p w14:paraId="5D43079C" w14:textId="441BF93B" w:rsidR="00945A3A" w:rsidRPr="003013DE" w:rsidRDefault="00A45B26" w:rsidP="00FA61E0">
      <w:pPr>
        <w:pStyle w:val="Ttulo3"/>
        <w:rPr>
          <w:rFonts w:ascii="Times New Roman" w:hAnsi="Times New Roman" w:cs="Times New Roman"/>
          <w:b/>
          <w:color w:val="auto"/>
          <w:sz w:val="24"/>
          <w:szCs w:val="24"/>
        </w:rPr>
      </w:pPr>
      <w:bookmarkStart w:id="95" w:name="_Toc223177181"/>
      <w:r w:rsidRPr="003013DE">
        <w:rPr>
          <w:rFonts w:ascii="Times New Roman" w:hAnsi="Times New Roman" w:cs="Times New Roman"/>
          <w:b/>
          <w:color w:val="auto"/>
          <w:sz w:val="24"/>
          <w:szCs w:val="24"/>
        </w:rPr>
        <w:t xml:space="preserve">2.12.2 </w:t>
      </w:r>
      <w:r w:rsidR="00945A3A" w:rsidRPr="003013DE">
        <w:rPr>
          <w:rFonts w:ascii="Times New Roman" w:hAnsi="Times New Roman" w:cs="Times New Roman"/>
          <w:b/>
          <w:color w:val="auto"/>
          <w:sz w:val="24"/>
          <w:szCs w:val="24"/>
        </w:rPr>
        <w:t>Biomarcadores microbianos en sangre periférica</w:t>
      </w:r>
      <w:bookmarkEnd w:id="95"/>
    </w:p>
    <w:p w14:paraId="4AD5B48A" w14:textId="16669D57" w:rsidR="00945A3A" w:rsidRPr="003013DE" w:rsidRDefault="00945A3A" w:rsidP="00C00C0D">
      <w:pPr>
        <w:spacing w:before="240" w:line="360" w:lineRule="auto"/>
        <w:ind w:firstLine="708"/>
        <w:jc w:val="both"/>
        <w:rPr>
          <w:rFonts w:ascii="Times New Roman" w:hAnsi="Times New Roman" w:cs="Times New Roman"/>
          <w:bCs/>
          <w:sz w:val="24"/>
          <w:szCs w:val="24"/>
          <w:vertAlign w:val="superscript"/>
        </w:rPr>
      </w:pPr>
      <w:r w:rsidRPr="003013DE">
        <w:rPr>
          <w:rFonts w:ascii="Times New Roman" w:hAnsi="Times New Roman" w:cs="Times New Roman"/>
          <w:bCs/>
          <w:sz w:val="24"/>
          <w:szCs w:val="24"/>
        </w:rPr>
        <w:t>Los biomarcadores circulantes derivados del microbiota intestinal reflejan la translocación de productos bacterianos o metabolitos hacia la circulación sistémica como consecuencia del aumento de la permeabilidad intestinal. Entre los más estudiados se encuentran el lipopolisacárido (LPS) y sus proteínas asociadas, como la proteína ligadora de LPS (LBP)</w:t>
      </w:r>
      <w:r w:rsidR="00503B1D" w:rsidRPr="003013DE">
        <w:rPr>
          <w:rFonts w:ascii="Times New Roman" w:hAnsi="Times New Roman" w:cs="Times New Roman"/>
          <w:bCs/>
          <w:sz w:val="24"/>
          <w:szCs w:val="24"/>
          <w:vertAlign w:val="superscript"/>
        </w:rPr>
        <w:t>79</w:t>
      </w:r>
    </w:p>
    <w:p w14:paraId="04A11CB3" w14:textId="40792ABC" w:rsidR="00945A3A" w:rsidRPr="003013DE" w:rsidRDefault="00945A3A" w:rsidP="00A45B26">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LPS, componente estructural de bacterias Gram negativas, ha sido identificado en concentraciones elevadas en sangre de pacientes con Alzheimer y Parkinson, asociándose con inflamación sistémica crónica y activación microglial. La endotoxemia metabólica inducida por LPS se considera un vínculo clave entre la disbiosis intestinal y la neuroinflamación.</w:t>
      </w:r>
      <w:r w:rsidR="00A45B26"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Además, metabolitos microbianos como el trimetilamina N-óxido (TMAO) y alteraciones en los niveles circulantes de ácidos grasos de cadena corta han sido propuestos como biomarcadores funcionales del microbiota. Estos compuestos influyen en procesos inflamatorios, vasculares y neurodegenerativos, reforzando su utilidad como indicadores indirectos de disfunción microbiana</w:t>
      </w:r>
      <w:r w:rsidR="00503B1D" w:rsidRPr="003013DE">
        <w:rPr>
          <w:rFonts w:ascii="Times New Roman" w:hAnsi="Times New Roman" w:cs="Times New Roman"/>
          <w:bCs/>
          <w:sz w:val="24"/>
          <w:szCs w:val="24"/>
          <w:vertAlign w:val="superscript"/>
        </w:rPr>
        <w:t>79</w:t>
      </w:r>
      <w:r w:rsidRPr="003013DE">
        <w:rPr>
          <w:rFonts w:ascii="Times New Roman" w:hAnsi="Times New Roman" w:cs="Times New Roman"/>
          <w:bCs/>
          <w:sz w:val="24"/>
          <w:szCs w:val="24"/>
        </w:rPr>
        <w:t>.</w:t>
      </w:r>
    </w:p>
    <w:p w14:paraId="0571F5FE" w14:textId="0AC8CD2C" w:rsidR="00945A3A" w:rsidRPr="003013DE" w:rsidRDefault="00A45B26" w:rsidP="00FA61E0">
      <w:pPr>
        <w:pStyle w:val="Ttulo3"/>
        <w:rPr>
          <w:rFonts w:ascii="Times New Roman" w:hAnsi="Times New Roman" w:cs="Times New Roman"/>
          <w:b/>
          <w:color w:val="auto"/>
          <w:sz w:val="24"/>
          <w:szCs w:val="24"/>
        </w:rPr>
      </w:pPr>
      <w:bookmarkStart w:id="96" w:name="_Toc223177182"/>
      <w:r w:rsidRPr="003013DE">
        <w:rPr>
          <w:rFonts w:ascii="Times New Roman" w:hAnsi="Times New Roman" w:cs="Times New Roman"/>
          <w:b/>
          <w:color w:val="auto"/>
          <w:sz w:val="24"/>
          <w:szCs w:val="24"/>
        </w:rPr>
        <w:t xml:space="preserve">2.12.3 </w:t>
      </w:r>
      <w:r w:rsidR="00945A3A" w:rsidRPr="003013DE">
        <w:rPr>
          <w:rFonts w:ascii="Times New Roman" w:hAnsi="Times New Roman" w:cs="Times New Roman"/>
          <w:b/>
          <w:color w:val="auto"/>
          <w:sz w:val="24"/>
          <w:szCs w:val="24"/>
        </w:rPr>
        <w:t>Biomarcadores microbianos en líquido cefalorraquídeo</w:t>
      </w:r>
      <w:bookmarkEnd w:id="96"/>
    </w:p>
    <w:p w14:paraId="09140673" w14:textId="5E8708EF" w:rsidR="00945A3A" w:rsidRPr="003013DE" w:rsidRDefault="00945A3A" w:rsidP="00C00C0D">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El análisis del líquido cefalorraquídeo (LCR) ha permitido identificar la presencia de productos microbianos y mediadores inflamatorios relacionados con el microbiota intestinal, lo que respalda la hipótesis de una comunicación directa entre el intestino y el sistema nervioso central.</w:t>
      </w:r>
      <w:r w:rsidR="00F92FD7" w:rsidRPr="003013DE">
        <w:rPr>
          <w:rFonts w:ascii="Times New Roman" w:hAnsi="Times New Roman" w:cs="Times New Roman"/>
          <w:bCs/>
          <w:sz w:val="24"/>
          <w:szCs w:val="24"/>
        </w:rPr>
        <w:t xml:space="preserve"> </w:t>
      </w:r>
      <w:r w:rsidRPr="003013DE">
        <w:rPr>
          <w:rFonts w:ascii="Times New Roman" w:hAnsi="Times New Roman" w:cs="Times New Roman"/>
          <w:bCs/>
          <w:sz w:val="24"/>
          <w:szCs w:val="24"/>
        </w:rPr>
        <w:t>Se ha detectado la presencia de fragmentos de LPS y otros componentes bacterianos en el LCR de pacientes con enfermedad de Alzheimer, lo que sugiere la capacidad de estos productos para atravesar la barrera hematoencefálica alterada. Esta translocación se asocia con activación microglial y aumento de la producción de citocinas proinflamatorias en el cerebro</w:t>
      </w:r>
      <w:r w:rsidR="005C40DB" w:rsidRPr="003013DE">
        <w:rPr>
          <w:rFonts w:ascii="Times New Roman" w:hAnsi="Times New Roman" w:cs="Times New Roman"/>
          <w:bCs/>
          <w:sz w:val="24"/>
          <w:szCs w:val="24"/>
          <w:vertAlign w:val="superscript"/>
        </w:rPr>
        <w:t>60</w:t>
      </w:r>
      <w:r w:rsidRPr="003013DE">
        <w:rPr>
          <w:rFonts w:ascii="Times New Roman" w:hAnsi="Times New Roman" w:cs="Times New Roman"/>
          <w:bCs/>
          <w:sz w:val="24"/>
          <w:szCs w:val="24"/>
        </w:rPr>
        <w:t>.</w:t>
      </w:r>
    </w:p>
    <w:p w14:paraId="6048306F" w14:textId="1778C45D" w:rsidR="00945A3A" w:rsidRPr="003013DE" w:rsidRDefault="00945A3A" w:rsidP="00945A3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 xml:space="preserve">Asimismo, alteraciones en los niveles de metabolitos neuroactivos derivados del microbiota, como el ácido indolacético y otros compuestos derivados del triptófano, han sido observadas en el LCR de pacientes con trastornos neurodegenerativos. Estos hallazgos </w:t>
      </w:r>
      <w:r w:rsidRPr="003013DE">
        <w:rPr>
          <w:rFonts w:ascii="Times New Roman" w:hAnsi="Times New Roman" w:cs="Times New Roman"/>
          <w:bCs/>
          <w:sz w:val="24"/>
          <w:szCs w:val="24"/>
        </w:rPr>
        <w:lastRenderedPageBreak/>
        <w:t>posicionan al LCR como una fuente clave de biomarcadores integradores del eje intestino–cerebro</w:t>
      </w:r>
      <w:r w:rsidR="005C40DB" w:rsidRPr="003013DE">
        <w:rPr>
          <w:rFonts w:ascii="Times New Roman" w:hAnsi="Times New Roman" w:cs="Times New Roman"/>
          <w:bCs/>
          <w:sz w:val="24"/>
          <w:szCs w:val="24"/>
          <w:vertAlign w:val="superscript"/>
        </w:rPr>
        <w:t>60</w:t>
      </w:r>
      <w:r w:rsidRPr="003013DE">
        <w:rPr>
          <w:rFonts w:ascii="Times New Roman" w:hAnsi="Times New Roman" w:cs="Times New Roman"/>
          <w:bCs/>
          <w:sz w:val="24"/>
          <w:szCs w:val="24"/>
        </w:rPr>
        <w:t>.</w:t>
      </w:r>
    </w:p>
    <w:p w14:paraId="3F0BAE3B" w14:textId="572610C5" w:rsidR="00945A3A" w:rsidRPr="003013DE" w:rsidRDefault="00F92FD7" w:rsidP="00FA61E0">
      <w:pPr>
        <w:pStyle w:val="Ttulo3"/>
        <w:rPr>
          <w:rFonts w:ascii="Times New Roman" w:hAnsi="Times New Roman" w:cs="Times New Roman"/>
          <w:b/>
          <w:color w:val="auto"/>
          <w:sz w:val="24"/>
          <w:szCs w:val="24"/>
        </w:rPr>
      </w:pPr>
      <w:bookmarkStart w:id="97" w:name="_Toc223177183"/>
      <w:r w:rsidRPr="003013DE">
        <w:rPr>
          <w:rFonts w:ascii="Times New Roman" w:hAnsi="Times New Roman" w:cs="Times New Roman"/>
          <w:b/>
          <w:color w:val="auto"/>
          <w:sz w:val="24"/>
          <w:szCs w:val="24"/>
        </w:rPr>
        <w:t xml:space="preserve">2.12.4 </w:t>
      </w:r>
      <w:r w:rsidR="00945A3A" w:rsidRPr="003013DE">
        <w:rPr>
          <w:rFonts w:ascii="Times New Roman" w:hAnsi="Times New Roman" w:cs="Times New Roman"/>
          <w:b/>
          <w:color w:val="auto"/>
          <w:sz w:val="24"/>
          <w:szCs w:val="24"/>
        </w:rPr>
        <w:t>Relevancia clínica y proyección futura de los biomarcadores microbianos</w:t>
      </w:r>
      <w:bookmarkEnd w:id="97"/>
    </w:p>
    <w:p w14:paraId="1D81075A" w14:textId="38545070" w:rsidR="00945A3A" w:rsidRPr="003013DE" w:rsidRDefault="00945A3A" w:rsidP="00C00C0D">
      <w:pPr>
        <w:spacing w:before="240"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La identificación de biomarcadores microbianos abre nuevas perspectivas para el desarrollo de estrategias diagnósticas y terapéuticas personalizadas en las enfermedades neurodegenerativas. A diferencia de los biomarcadores tradicionales, estos indicadores reflejan procesos dinámicos y potencialmente modificables mediante intervenciones dietéticas, probióticas o farmacológicas</w:t>
      </w:r>
      <w:r w:rsidR="005C40DB"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7E8EDD5D" w14:textId="0659D534" w:rsidR="00945A3A" w:rsidRPr="003013DE" w:rsidRDefault="00945A3A" w:rsidP="00F92FD7">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Sin embargo, la heterogeneidad interindividual del microbiota y la influencia de factores como la dieta, el uso de antibióticos y el estilo de vida representan desafíos metodológicos importantes. Por ello, se requiere la estandarización de técnicas analíticas y estudios longitudinales que validen la especificidad y sensibilidad de estos biomarcadores</w:t>
      </w:r>
      <w:r w:rsidR="005C40DB" w:rsidRPr="003013DE">
        <w:rPr>
          <w:rFonts w:ascii="Times New Roman" w:hAnsi="Times New Roman" w:cs="Times New Roman"/>
          <w:bCs/>
          <w:sz w:val="24"/>
          <w:szCs w:val="24"/>
          <w:vertAlign w:val="superscript"/>
        </w:rPr>
        <w:t>55</w:t>
      </w:r>
      <w:r w:rsidRPr="003013DE">
        <w:rPr>
          <w:rFonts w:ascii="Times New Roman" w:hAnsi="Times New Roman" w:cs="Times New Roman"/>
          <w:bCs/>
          <w:sz w:val="24"/>
          <w:szCs w:val="24"/>
        </w:rPr>
        <w:t>.</w:t>
      </w:r>
    </w:p>
    <w:p w14:paraId="39BFE1D1" w14:textId="49CF456D" w:rsidR="00FE32A4" w:rsidRPr="003013DE" w:rsidRDefault="00945A3A" w:rsidP="00945A3A">
      <w:pPr>
        <w:spacing w:line="360" w:lineRule="auto"/>
        <w:ind w:firstLine="708"/>
        <w:jc w:val="both"/>
        <w:rPr>
          <w:rFonts w:ascii="Times New Roman" w:hAnsi="Times New Roman" w:cs="Times New Roman"/>
          <w:bCs/>
          <w:sz w:val="24"/>
          <w:szCs w:val="24"/>
        </w:rPr>
      </w:pPr>
      <w:r w:rsidRPr="003013DE">
        <w:rPr>
          <w:rFonts w:ascii="Times New Roman" w:hAnsi="Times New Roman" w:cs="Times New Roman"/>
          <w:bCs/>
          <w:sz w:val="24"/>
          <w:szCs w:val="24"/>
        </w:rPr>
        <w:t>En conjunto, los biomarcadores microbianos constituyen una herramienta emergente con alto potencial translacional, capaz de mejorar la comprensión de la fisiopatología neurodegenerativa y de contribuir al diseño de intervenciones preventivas basadas en la modulación del microbiota intestinal.</w:t>
      </w:r>
    </w:p>
    <w:p w14:paraId="67DB1EB1" w14:textId="77777777" w:rsidR="00FE32A4" w:rsidRPr="003013DE" w:rsidRDefault="00FE32A4" w:rsidP="00FE32A4">
      <w:pPr>
        <w:spacing w:line="360" w:lineRule="auto"/>
        <w:jc w:val="center"/>
        <w:rPr>
          <w:rFonts w:ascii="Times New Roman" w:hAnsi="Times New Roman" w:cs="Times New Roman"/>
          <w:b/>
          <w:sz w:val="32"/>
          <w:szCs w:val="32"/>
        </w:rPr>
      </w:pPr>
    </w:p>
    <w:p w14:paraId="078ACE4F" w14:textId="77777777" w:rsidR="00FE32A4" w:rsidRPr="003013DE" w:rsidRDefault="00FE32A4" w:rsidP="00FE32A4">
      <w:pPr>
        <w:spacing w:line="360" w:lineRule="auto"/>
        <w:jc w:val="center"/>
        <w:rPr>
          <w:rFonts w:ascii="Times New Roman" w:hAnsi="Times New Roman" w:cs="Times New Roman"/>
          <w:b/>
          <w:sz w:val="32"/>
          <w:szCs w:val="32"/>
        </w:rPr>
      </w:pPr>
    </w:p>
    <w:p w14:paraId="2E2F9FAB" w14:textId="77777777" w:rsidR="00FE32A4" w:rsidRPr="003013DE" w:rsidRDefault="00FE32A4" w:rsidP="00FE32A4">
      <w:pPr>
        <w:spacing w:line="360" w:lineRule="auto"/>
        <w:jc w:val="center"/>
        <w:rPr>
          <w:rFonts w:ascii="Times New Roman" w:hAnsi="Times New Roman" w:cs="Times New Roman"/>
          <w:b/>
          <w:sz w:val="32"/>
          <w:szCs w:val="32"/>
        </w:rPr>
      </w:pPr>
    </w:p>
    <w:p w14:paraId="49B6FDCB" w14:textId="77777777" w:rsidR="003406E6" w:rsidRPr="003013DE" w:rsidRDefault="003406E6" w:rsidP="00FE32A4">
      <w:pPr>
        <w:spacing w:line="360" w:lineRule="auto"/>
        <w:jc w:val="center"/>
        <w:rPr>
          <w:rFonts w:ascii="Times New Roman" w:hAnsi="Times New Roman" w:cs="Times New Roman"/>
          <w:b/>
          <w:sz w:val="32"/>
          <w:szCs w:val="32"/>
        </w:rPr>
        <w:sectPr w:rsidR="003406E6" w:rsidRPr="003013DE" w:rsidSect="003406E6">
          <w:pgSz w:w="12240" w:h="15840"/>
          <w:pgMar w:top="1417" w:right="1701" w:bottom="1417" w:left="1701" w:header="708" w:footer="708" w:gutter="0"/>
          <w:cols w:space="708"/>
          <w:titlePg/>
          <w:docGrid w:linePitch="360"/>
        </w:sectPr>
      </w:pPr>
    </w:p>
    <w:p w14:paraId="3AD73BD1" w14:textId="44ECC10E" w:rsidR="00FE32A4" w:rsidRPr="003013DE" w:rsidRDefault="00FE32A4" w:rsidP="00FE32A4">
      <w:pPr>
        <w:spacing w:line="360" w:lineRule="auto"/>
        <w:jc w:val="center"/>
        <w:rPr>
          <w:rFonts w:ascii="Times New Roman" w:hAnsi="Times New Roman" w:cs="Times New Roman"/>
          <w:b/>
          <w:sz w:val="32"/>
          <w:szCs w:val="32"/>
        </w:rPr>
      </w:pPr>
    </w:p>
    <w:p w14:paraId="5BC8F8B5" w14:textId="659FD6DD" w:rsidR="00900405" w:rsidRPr="003013DE" w:rsidRDefault="00900405">
      <w:pPr>
        <w:rPr>
          <w:rFonts w:ascii="Times New Roman" w:hAnsi="Times New Roman" w:cs="Times New Roman"/>
          <w:b/>
          <w:sz w:val="32"/>
          <w:szCs w:val="32"/>
        </w:rPr>
      </w:pPr>
    </w:p>
    <w:p w14:paraId="480B2201" w14:textId="77777777" w:rsidR="008969CF" w:rsidRPr="003013DE" w:rsidRDefault="008969CF">
      <w:pPr>
        <w:rPr>
          <w:rFonts w:ascii="Times New Roman" w:hAnsi="Times New Roman" w:cs="Times New Roman"/>
          <w:b/>
          <w:sz w:val="32"/>
          <w:szCs w:val="32"/>
        </w:rPr>
      </w:pPr>
    </w:p>
    <w:p w14:paraId="24694132" w14:textId="77777777" w:rsidR="00900405" w:rsidRPr="003013DE" w:rsidRDefault="00900405" w:rsidP="00FE32A4">
      <w:pPr>
        <w:spacing w:line="360" w:lineRule="auto"/>
        <w:jc w:val="center"/>
        <w:rPr>
          <w:rFonts w:ascii="Times New Roman" w:hAnsi="Times New Roman" w:cs="Times New Roman"/>
          <w:b/>
          <w:sz w:val="32"/>
          <w:szCs w:val="32"/>
        </w:rPr>
      </w:pPr>
    </w:p>
    <w:p w14:paraId="3D0BA81C" w14:textId="77777777" w:rsidR="00900405" w:rsidRPr="003013DE" w:rsidRDefault="00900405" w:rsidP="00FE32A4">
      <w:pPr>
        <w:spacing w:line="360" w:lineRule="auto"/>
        <w:jc w:val="center"/>
        <w:rPr>
          <w:rFonts w:ascii="Times New Roman" w:hAnsi="Times New Roman" w:cs="Times New Roman"/>
          <w:b/>
          <w:sz w:val="32"/>
          <w:szCs w:val="32"/>
        </w:rPr>
      </w:pPr>
    </w:p>
    <w:p w14:paraId="05F2940E" w14:textId="77777777" w:rsidR="008969CF" w:rsidRPr="003013DE" w:rsidRDefault="008969CF" w:rsidP="00FE32A4">
      <w:pPr>
        <w:spacing w:line="360" w:lineRule="auto"/>
        <w:jc w:val="center"/>
        <w:rPr>
          <w:rFonts w:ascii="Times New Roman" w:hAnsi="Times New Roman" w:cs="Times New Roman"/>
          <w:b/>
          <w:sz w:val="32"/>
          <w:szCs w:val="32"/>
        </w:rPr>
      </w:pPr>
    </w:p>
    <w:p w14:paraId="59BF828E" w14:textId="77777777" w:rsidR="00900405" w:rsidRPr="003013DE" w:rsidRDefault="00900405" w:rsidP="00FE32A4">
      <w:pPr>
        <w:spacing w:line="360" w:lineRule="auto"/>
        <w:jc w:val="center"/>
        <w:rPr>
          <w:rFonts w:ascii="Times New Roman" w:hAnsi="Times New Roman" w:cs="Times New Roman"/>
          <w:b/>
          <w:sz w:val="32"/>
          <w:szCs w:val="32"/>
        </w:rPr>
      </w:pPr>
    </w:p>
    <w:p w14:paraId="5EC91865" w14:textId="77777777" w:rsidR="00900405" w:rsidRPr="003013DE" w:rsidRDefault="00900405" w:rsidP="00FE32A4">
      <w:pPr>
        <w:spacing w:line="360" w:lineRule="auto"/>
        <w:jc w:val="center"/>
        <w:rPr>
          <w:rFonts w:ascii="Times New Roman" w:hAnsi="Times New Roman" w:cs="Times New Roman"/>
          <w:b/>
          <w:sz w:val="32"/>
          <w:szCs w:val="32"/>
        </w:rPr>
      </w:pPr>
    </w:p>
    <w:p w14:paraId="28F91D28" w14:textId="230054FC" w:rsidR="00FE32A4" w:rsidRPr="003013DE" w:rsidRDefault="00FE32A4" w:rsidP="00FA61E0">
      <w:pPr>
        <w:pStyle w:val="Ttulo1"/>
        <w:jc w:val="center"/>
        <w:rPr>
          <w:rFonts w:cs="Times New Roman"/>
          <w:b w:val="0"/>
          <w:color w:val="auto"/>
          <w:spacing w:val="-2"/>
          <w:sz w:val="32"/>
        </w:rPr>
      </w:pPr>
      <w:bookmarkStart w:id="98" w:name="_Toc223177184"/>
      <w:r w:rsidRPr="003013DE">
        <w:rPr>
          <w:rFonts w:cs="Times New Roman"/>
          <w:color w:val="auto"/>
          <w:sz w:val="32"/>
        </w:rPr>
        <w:t>CAPÍTULO</w:t>
      </w:r>
      <w:r w:rsidRPr="003013DE">
        <w:rPr>
          <w:rFonts w:cs="Times New Roman"/>
          <w:color w:val="auto"/>
          <w:spacing w:val="-1"/>
          <w:sz w:val="32"/>
        </w:rPr>
        <w:t xml:space="preserve"> </w:t>
      </w:r>
      <w:r w:rsidRPr="003013DE">
        <w:rPr>
          <w:rFonts w:cs="Times New Roman"/>
          <w:color w:val="auto"/>
          <w:sz w:val="32"/>
        </w:rPr>
        <w:t>III-</w:t>
      </w:r>
      <w:r w:rsidRPr="003013DE">
        <w:rPr>
          <w:rFonts w:cs="Times New Roman"/>
          <w:color w:val="auto"/>
          <w:spacing w:val="-1"/>
          <w:sz w:val="32"/>
        </w:rPr>
        <w:t xml:space="preserve"> </w:t>
      </w:r>
      <w:r w:rsidRPr="003013DE">
        <w:rPr>
          <w:rFonts w:cs="Times New Roman"/>
          <w:color w:val="auto"/>
          <w:spacing w:val="-2"/>
          <w:sz w:val="32"/>
        </w:rPr>
        <w:t>MARCO METODOLÓGICO</w:t>
      </w:r>
      <w:bookmarkEnd w:id="98"/>
    </w:p>
    <w:p w14:paraId="294BBB81" w14:textId="596503ED" w:rsidR="00F51BC8" w:rsidRPr="003013DE" w:rsidRDefault="00F51BC8" w:rsidP="00FE32A4">
      <w:pPr>
        <w:spacing w:line="360" w:lineRule="auto"/>
        <w:jc w:val="center"/>
        <w:rPr>
          <w:rFonts w:ascii="Times New Roman" w:hAnsi="Times New Roman" w:cs="Times New Roman"/>
          <w:b/>
          <w:spacing w:val="-2"/>
          <w:sz w:val="32"/>
          <w:szCs w:val="32"/>
        </w:rPr>
      </w:pPr>
    </w:p>
    <w:p w14:paraId="1354808E" w14:textId="2BD478D1" w:rsidR="00F51BC8" w:rsidRPr="003013DE" w:rsidRDefault="00F51BC8">
      <w:pPr>
        <w:rPr>
          <w:rFonts w:ascii="Times New Roman" w:hAnsi="Times New Roman" w:cs="Times New Roman"/>
          <w:b/>
          <w:spacing w:val="-2"/>
          <w:sz w:val="32"/>
          <w:szCs w:val="32"/>
        </w:rPr>
      </w:pPr>
      <w:r w:rsidRPr="003013DE">
        <w:rPr>
          <w:rFonts w:ascii="Times New Roman" w:hAnsi="Times New Roman" w:cs="Times New Roman"/>
          <w:b/>
          <w:spacing w:val="-2"/>
          <w:sz w:val="32"/>
          <w:szCs w:val="32"/>
        </w:rPr>
        <w:br w:type="page"/>
      </w:r>
    </w:p>
    <w:p w14:paraId="02C4A684" w14:textId="7E70A380" w:rsidR="00566DC2" w:rsidRPr="003013DE" w:rsidRDefault="00566DC2" w:rsidP="00566DC2">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lastRenderedPageBreak/>
        <w:t>El presente capítulo expone de manera estructurada el diseño metodológico que orienta la elaboración de esta revisión sobre la relación entre la microbiota intestinal y las enfermedades neurodegenerativas, con especial énfasis en los mecanismos del eje intestino–cerebro y las intervenciones terapéuticas moduladoras. Dado que se trata de una revisión narrativa de carácter integrador y crítico, el abordaje metodológico prioriza el análisis cualitativo, la interpretación conceptual y la articulación coherente de la evidencia científica reciente.</w:t>
      </w:r>
    </w:p>
    <w:p w14:paraId="1C6D0B16" w14:textId="4D34D232" w:rsidR="00B80D09" w:rsidRPr="003013DE" w:rsidRDefault="00566DC2" w:rsidP="00B80D09">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En este apartado se describen el enfoque metodológico adoptado, el tipo de investigación, las fuentes de información consultadas, los criterios de búsqueda, inclusión y exclusión, así como el algoritmo de selección de artículos y la clasificación de los estudios según niveles de evidencia. La finalidad de este marco metodológico es garantizar transparencia, coherencia y rigor académico en el proceso de identificación, selección y análisis de la literatura científica, permitiendo sustentar de forma sólida las conclusiones derivadas sobre el papel de la microbiota intestinal en la salud neurológica.</w:t>
      </w:r>
    </w:p>
    <w:p w14:paraId="211B3C82" w14:textId="4816594F" w:rsidR="000D1BF0" w:rsidRPr="003013DE" w:rsidRDefault="000D1BF0" w:rsidP="00FA61E0">
      <w:pPr>
        <w:pStyle w:val="Ttulo1"/>
        <w:rPr>
          <w:rFonts w:cs="Times New Roman"/>
          <w:b w:val="0"/>
          <w:color w:val="auto"/>
          <w:spacing w:val="-2"/>
          <w:szCs w:val="24"/>
        </w:rPr>
      </w:pPr>
      <w:bookmarkStart w:id="99" w:name="_Toc223177185"/>
      <w:r w:rsidRPr="003013DE">
        <w:rPr>
          <w:rFonts w:cs="Times New Roman"/>
          <w:color w:val="auto"/>
          <w:spacing w:val="-2"/>
          <w:szCs w:val="24"/>
        </w:rPr>
        <w:t>3.1 Enfoque metodológico</w:t>
      </w:r>
      <w:bookmarkEnd w:id="99"/>
    </w:p>
    <w:p w14:paraId="2CED0C80" w14:textId="52214A8F" w:rsidR="000D1BF0" w:rsidRPr="003013DE" w:rsidRDefault="000D1BF0" w:rsidP="00C00C0D">
      <w:pPr>
        <w:spacing w:before="240"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El enfoque metodológico de esta revisión es cualitativo en el sentido de que no buscará cuantificar estadísticamente efectos ni realizar metanálisis, sino más bien describir, interpretar y articular conexiones conceptuales en el cuerpo de literatura existente. En las ciencias de la salud, los estudios cualitativos apuntan a indagar significados, procesos, relaciones y construcciones teóricas; se enfocan en la comprensión profunda y contextual de fenómenos más que en la generalización numérica</w:t>
      </w:r>
      <w:r w:rsidR="00411B42" w:rsidRPr="003013DE">
        <w:rPr>
          <w:rFonts w:ascii="Times New Roman" w:hAnsi="Times New Roman" w:cs="Times New Roman"/>
          <w:bCs/>
          <w:spacing w:val="-2"/>
          <w:sz w:val="24"/>
          <w:szCs w:val="24"/>
          <w:vertAlign w:val="superscript"/>
        </w:rPr>
        <w:t>80</w:t>
      </w:r>
      <w:r w:rsidRPr="003013DE">
        <w:rPr>
          <w:rFonts w:ascii="Times New Roman" w:hAnsi="Times New Roman" w:cs="Times New Roman"/>
          <w:bCs/>
          <w:spacing w:val="-2"/>
          <w:sz w:val="24"/>
          <w:szCs w:val="24"/>
        </w:rPr>
        <w:t>.</w:t>
      </w:r>
    </w:p>
    <w:p w14:paraId="1D054E5A" w14:textId="47413A03" w:rsidR="000D1BF0" w:rsidRPr="003013DE" w:rsidRDefault="00B45A05" w:rsidP="00561239">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Además, e</w:t>
      </w:r>
      <w:r w:rsidR="000D1BF0" w:rsidRPr="003013DE">
        <w:rPr>
          <w:rFonts w:ascii="Times New Roman" w:hAnsi="Times New Roman" w:cs="Times New Roman"/>
          <w:bCs/>
          <w:spacing w:val="-2"/>
          <w:sz w:val="24"/>
          <w:szCs w:val="24"/>
        </w:rPr>
        <w:t xml:space="preserve">sta revisión se inscribe en una revisión narrativa </w:t>
      </w:r>
      <w:r w:rsidR="001547D3" w:rsidRPr="003013DE">
        <w:rPr>
          <w:rFonts w:ascii="Times New Roman" w:hAnsi="Times New Roman" w:cs="Times New Roman"/>
          <w:bCs/>
          <w:spacing w:val="-2"/>
          <w:sz w:val="24"/>
          <w:szCs w:val="24"/>
        </w:rPr>
        <w:t xml:space="preserve">ya que </w:t>
      </w:r>
      <w:r w:rsidR="000D1BF0" w:rsidRPr="003013DE">
        <w:rPr>
          <w:rFonts w:ascii="Times New Roman" w:hAnsi="Times New Roman" w:cs="Times New Roman"/>
          <w:bCs/>
          <w:spacing w:val="-2"/>
          <w:sz w:val="24"/>
          <w:szCs w:val="24"/>
        </w:rPr>
        <w:t>se trata de una síntesis interpretativa del conocimiento existente, que permite al autor del estudio dar coherencia temática, identificar tendencias, vacíos conceptuales y proponer líneas futuras, más allá de una simple enumeración de resultados. Las revisiones narrativas son especialmente útiles cuando el tema es amplio, complejo o emergente, pues permiten incorporar multitud de perspectivas y tipos de estudio, sin adherirse rígidamente a protocolos cuantitativos estrictos</w:t>
      </w:r>
      <w:r w:rsidR="001547D3" w:rsidRPr="003013DE">
        <w:rPr>
          <w:rFonts w:ascii="Times New Roman" w:hAnsi="Times New Roman" w:cs="Times New Roman"/>
          <w:bCs/>
          <w:spacing w:val="-2"/>
          <w:sz w:val="24"/>
          <w:szCs w:val="24"/>
          <w:vertAlign w:val="superscript"/>
        </w:rPr>
        <w:t>31</w:t>
      </w:r>
      <w:r w:rsidR="000D1BF0" w:rsidRPr="003013DE">
        <w:rPr>
          <w:rFonts w:ascii="Times New Roman" w:hAnsi="Times New Roman" w:cs="Times New Roman"/>
          <w:bCs/>
          <w:spacing w:val="-2"/>
          <w:sz w:val="24"/>
          <w:szCs w:val="24"/>
        </w:rPr>
        <w:t>‎</w:t>
      </w:r>
      <w:r w:rsidRPr="003013DE">
        <w:rPr>
          <w:rFonts w:ascii="Times New Roman" w:hAnsi="Times New Roman" w:cs="Times New Roman"/>
          <w:bCs/>
          <w:spacing w:val="-2"/>
          <w:sz w:val="24"/>
          <w:szCs w:val="24"/>
        </w:rPr>
        <w:t>.</w:t>
      </w:r>
    </w:p>
    <w:p w14:paraId="7D6F5F82" w14:textId="0519947F" w:rsidR="000D1BF0" w:rsidRPr="003013DE" w:rsidRDefault="00565E23" w:rsidP="00561239">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 xml:space="preserve">Es importante destacar </w:t>
      </w:r>
      <w:r w:rsidR="00954CF1" w:rsidRPr="003013DE">
        <w:rPr>
          <w:rFonts w:ascii="Times New Roman" w:hAnsi="Times New Roman" w:cs="Times New Roman"/>
          <w:bCs/>
          <w:spacing w:val="-2"/>
          <w:sz w:val="24"/>
          <w:szCs w:val="24"/>
        </w:rPr>
        <w:t>que,</w:t>
      </w:r>
      <w:r w:rsidRPr="003013DE">
        <w:rPr>
          <w:rFonts w:ascii="Times New Roman" w:hAnsi="Times New Roman" w:cs="Times New Roman"/>
          <w:bCs/>
          <w:spacing w:val="-2"/>
          <w:sz w:val="24"/>
          <w:szCs w:val="24"/>
        </w:rPr>
        <w:t xml:space="preserve"> aunque</w:t>
      </w:r>
      <w:r w:rsidR="00954CF1" w:rsidRPr="003013DE">
        <w:rPr>
          <w:rFonts w:ascii="Times New Roman" w:hAnsi="Times New Roman" w:cs="Times New Roman"/>
          <w:bCs/>
          <w:spacing w:val="-2"/>
          <w:sz w:val="24"/>
          <w:szCs w:val="24"/>
        </w:rPr>
        <w:t xml:space="preserve"> </w:t>
      </w:r>
      <w:r w:rsidR="000D1BF0" w:rsidRPr="003013DE">
        <w:rPr>
          <w:rFonts w:ascii="Times New Roman" w:hAnsi="Times New Roman" w:cs="Times New Roman"/>
          <w:bCs/>
          <w:spacing w:val="-2"/>
          <w:sz w:val="24"/>
          <w:szCs w:val="24"/>
        </w:rPr>
        <w:t xml:space="preserve">las revisiones narrativas no garantizan la exhaustividad en todos los casos, su valor radica en la interpretación crítica, la flexibilidad y la </w:t>
      </w:r>
      <w:r w:rsidR="000D1BF0" w:rsidRPr="003013DE">
        <w:rPr>
          <w:rFonts w:ascii="Times New Roman" w:hAnsi="Times New Roman" w:cs="Times New Roman"/>
          <w:bCs/>
          <w:spacing w:val="-2"/>
          <w:sz w:val="24"/>
          <w:szCs w:val="24"/>
        </w:rPr>
        <w:lastRenderedPageBreak/>
        <w:t>contextualización del conocimiento científico en torno al eje intestino-cerebro, particularmente en su vínculo con enfermedades neurodegenerativas</w:t>
      </w:r>
      <w:r w:rsidR="00411B42" w:rsidRPr="003013DE">
        <w:rPr>
          <w:rFonts w:ascii="Times New Roman" w:hAnsi="Times New Roman" w:cs="Times New Roman"/>
          <w:bCs/>
          <w:spacing w:val="-2"/>
          <w:sz w:val="24"/>
          <w:szCs w:val="24"/>
          <w:vertAlign w:val="superscript"/>
        </w:rPr>
        <w:t>80</w:t>
      </w:r>
      <w:r w:rsidR="000D1BF0" w:rsidRPr="003013DE">
        <w:rPr>
          <w:rFonts w:ascii="Times New Roman" w:hAnsi="Times New Roman" w:cs="Times New Roman"/>
          <w:bCs/>
          <w:spacing w:val="-2"/>
          <w:sz w:val="24"/>
          <w:szCs w:val="24"/>
        </w:rPr>
        <w:t>.</w:t>
      </w:r>
    </w:p>
    <w:p w14:paraId="5C08F301" w14:textId="346B1026" w:rsidR="000D1BF0" w:rsidRPr="003013DE" w:rsidRDefault="000D1BF0" w:rsidP="00FA61E0">
      <w:pPr>
        <w:pStyle w:val="Ttulo1"/>
        <w:rPr>
          <w:rFonts w:cs="Times New Roman"/>
          <w:b w:val="0"/>
          <w:color w:val="auto"/>
          <w:spacing w:val="-2"/>
          <w:szCs w:val="24"/>
        </w:rPr>
      </w:pPr>
      <w:bookmarkStart w:id="100" w:name="_Toc223177186"/>
      <w:r w:rsidRPr="003013DE">
        <w:rPr>
          <w:rFonts w:cs="Times New Roman"/>
          <w:color w:val="auto"/>
          <w:spacing w:val="-2"/>
          <w:szCs w:val="24"/>
        </w:rPr>
        <w:t>3.2 Tipo de investigación</w:t>
      </w:r>
      <w:bookmarkEnd w:id="100"/>
    </w:p>
    <w:p w14:paraId="092FBC93" w14:textId="65251C6F" w:rsidR="000D1BF0" w:rsidRPr="003013DE" w:rsidRDefault="000D1BF0" w:rsidP="00C00C0D">
      <w:pPr>
        <w:spacing w:before="240"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Dentro de las revisiones narrativas, este tipo de investigación puede calificarse como una revisión integradora o crítica, en la cual se busca no sólo describir hallazgos sino evaluar fortalezas, debilidades, contradicciones y vacíos de conocimiento dentro del tema de microbiota intestinal y salud neurológica.</w:t>
      </w:r>
      <w:r w:rsidR="00466AC2" w:rsidRPr="003013DE">
        <w:rPr>
          <w:rFonts w:ascii="Times New Roman" w:hAnsi="Times New Roman" w:cs="Times New Roman"/>
          <w:bCs/>
          <w:spacing w:val="-2"/>
          <w:sz w:val="24"/>
          <w:szCs w:val="24"/>
        </w:rPr>
        <w:t xml:space="preserve"> </w:t>
      </w:r>
      <w:r w:rsidRPr="003013DE">
        <w:rPr>
          <w:rFonts w:ascii="Times New Roman" w:hAnsi="Times New Roman" w:cs="Times New Roman"/>
          <w:bCs/>
          <w:spacing w:val="-2"/>
          <w:sz w:val="24"/>
          <w:szCs w:val="24"/>
        </w:rPr>
        <w:t>Aunque no será una revisión sistemática ni un metanálisis</w:t>
      </w:r>
      <w:r w:rsidR="00466AC2" w:rsidRPr="003013DE">
        <w:rPr>
          <w:rFonts w:ascii="Times New Roman" w:hAnsi="Times New Roman" w:cs="Times New Roman"/>
          <w:bCs/>
          <w:spacing w:val="-2"/>
          <w:sz w:val="24"/>
          <w:szCs w:val="24"/>
        </w:rPr>
        <w:t xml:space="preserve">, </w:t>
      </w:r>
      <w:r w:rsidRPr="003013DE">
        <w:rPr>
          <w:rFonts w:ascii="Times New Roman" w:hAnsi="Times New Roman" w:cs="Times New Roman"/>
          <w:bCs/>
          <w:spacing w:val="-2"/>
          <w:sz w:val="24"/>
          <w:szCs w:val="24"/>
        </w:rPr>
        <w:t>esta investigación deberá mantener rigurosidad en la identificación, selección, categorización y análisis cualitativo de fuentes científicas pertinentes</w:t>
      </w:r>
      <w:r w:rsidR="00411B42" w:rsidRPr="003013DE">
        <w:rPr>
          <w:rFonts w:ascii="Times New Roman" w:hAnsi="Times New Roman" w:cs="Times New Roman"/>
          <w:bCs/>
          <w:spacing w:val="-2"/>
          <w:sz w:val="24"/>
          <w:szCs w:val="24"/>
          <w:vertAlign w:val="superscript"/>
        </w:rPr>
        <w:t>80</w:t>
      </w:r>
      <w:r w:rsidRPr="003013DE">
        <w:rPr>
          <w:rFonts w:ascii="Times New Roman" w:hAnsi="Times New Roman" w:cs="Times New Roman"/>
          <w:bCs/>
          <w:spacing w:val="-2"/>
          <w:sz w:val="24"/>
          <w:szCs w:val="24"/>
        </w:rPr>
        <w:t>.</w:t>
      </w:r>
    </w:p>
    <w:p w14:paraId="07620169" w14:textId="3F8BF5F9" w:rsidR="000D1BF0" w:rsidRPr="003013DE" w:rsidRDefault="000D1BF0" w:rsidP="00FA61E0">
      <w:pPr>
        <w:pStyle w:val="Ttulo1"/>
        <w:rPr>
          <w:rFonts w:cs="Times New Roman"/>
          <w:b w:val="0"/>
          <w:color w:val="auto"/>
          <w:spacing w:val="-2"/>
          <w:szCs w:val="24"/>
        </w:rPr>
      </w:pPr>
      <w:bookmarkStart w:id="101" w:name="_Toc223177187"/>
      <w:r w:rsidRPr="003013DE">
        <w:rPr>
          <w:rFonts w:cs="Times New Roman"/>
          <w:color w:val="auto"/>
          <w:spacing w:val="-2"/>
          <w:szCs w:val="24"/>
        </w:rPr>
        <w:t>3.</w:t>
      </w:r>
      <w:r w:rsidR="00FA61E0" w:rsidRPr="003013DE">
        <w:rPr>
          <w:rFonts w:cs="Times New Roman"/>
          <w:b w:val="0"/>
          <w:color w:val="auto"/>
          <w:spacing w:val="-2"/>
          <w:szCs w:val="24"/>
        </w:rPr>
        <w:t>3</w:t>
      </w:r>
      <w:r w:rsidRPr="003013DE">
        <w:rPr>
          <w:rFonts w:cs="Times New Roman"/>
          <w:color w:val="auto"/>
          <w:spacing w:val="-2"/>
          <w:szCs w:val="24"/>
        </w:rPr>
        <w:t xml:space="preserve"> Fuentes de información</w:t>
      </w:r>
      <w:bookmarkEnd w:id="101"/>
    </w:p>
    <w:p w14:paraId="15AADE85" w14:textId="384CD614" w:rsidR="000D1BF0" w:rsidRPr="003013DE" w:rsidRDefault="000D1BF0" w:rsidP="00C00C0D">
      <w:pPr>
        <w:spacing w:before="240"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Las fuentes primarias serán aquellas investigaciones originales que presentan datos, experimentos, estudios de cohortes o ensayos clínicos directamente relacionados con la microbiota intestinal y su relación con la función cerebral o enfermedades neurodegenerativas. Estos artículos incluyen la descripción del método, los resultados obtenidos y la interpretación de esos resultados, lo cual permite al revisor interpretar la calidad metodológica, reproducibilidad y relevancia en el contexto de tu pregunta de investigación</w:t>
      </w:r>
      <w:r w:rsidR="00411B42" w:rsidRPr="003013DE">
        <w:rPr>
          <w:rFonts w:ascii="Times New Roman" w:hAnsi="Times New Roman" w:cs="Times New Roman"/>
          <w:bCs/>
          <w:spacing w:val="-2"/>
          <w:sz w:val="24"/>
          <w:szCs w:val="24"/>
          <w:vertAlign w:val="superscript"/>
        </w:rPr>
        <w:t>80</w:t>
      </w:r>
      <w:r w:rsidRPr="003013DE">
        <w:rPr>
          <w:rFonts w:ascii="Times New Roman" w:hAnsi="Times New Roman" w:cs="Times New Roman"/>
          <w:bCs/>
          <w:spacing w:val="-2"/>
          <w:sz w:val="24"/>
          <w:szCs w:val="24"/>
        </w:rPr>
        <w:t>.</w:t>
      </w:r>
    </w:p>
    <w:p w14:paraId="57274731" w14:textId="707C0331" w:rsidR="000D1BF0" w:rsidRPr="003013DE" w:rsidRDefault="000D1BF0" w:rsidP="00561239">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Usando estas fuentes primarias, se podrá extraer evidencia concreta sobre mecanismos del eje intestino–cerebro, asociación entre disbiosis y patologías específicas, o los efectos de intervenciones modulatorias (probióticos, prebióticos, dieta, trasplante fecal). Se podrán comparar metodologías, poblaciones de estudio (humanos / animales) y resultados relevantes, permitiendo una reflexión crítica sobre su validez y límites</w:t>
      </w:r>
      <w:r w:rsidR="00411B42" w:rsidRPr="003013DE">
        <w:rPr>
          <w:rFonts w:ascii="Times New Roman" w:hAnsi="Times New Roman" w:cs="Times New Roman"/>
          <w:bCs/>
          <w:spacing w:val="-2"/>
          <w:sz w:val="24"/>
          <w:szCs w:val="24"/>
          <w:vertAlign w:val="superscript"/>
        </w:rPr>
        <w:t>80</w:t>
      </w:r>
      <w:r w:rsidRPr="003013DE">
        <w:rPr>
          <w:rFonts w:ascii="Times New Roman" w:hAnsi="Times New Roman" w:cs="Times New Roman"/>
          <w:bCs/>
          <w:spacing w:val="-2"/>
          <w:sz w:val="24"/>
          <w:szCs w:val="24"/>
        </w:rPr>
        <w:t>.</w:t>
      </w:r>
    </w:p>
    <w:p w14:paraId="4721DD7A" w14:textId="0118C705" w:rsidR="000D1BF0" w:rsidRPr="003013DE" w:rsidRDefault="000D1BF0" w:rsidP="00561239">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 xml:space="preserve">Las fuentes secundarias serán las que sintetizan, interpretan o evalúan el conocimiento existente: revisiones narrativas, revisiones sistemáticas, </w:t>
      </w:r>
      <w:r w:rsidR="00466AC2" w:rsidRPr="003013DE">
        <w:rPr>
          <w:rFonts w:ascii="Times New Roman" w:hAnsi="Times New Roman" w:cs="Times New Roman"/>
          <w:bCs/>
          <w:spacing w:val="-2"/>
          <w:sz w:val="24"/>
          <w:szCs w:val="24"/>
        </w:rPr>
        <w:t>metaanálisis</w:t>
      </w:r>
      <w:r w:rsidRPr="003013DE">
        <w:rPr>
          <w:rFonts w:ascii="Times New Roman" w:hAnsi="Times New Roman" w:cs="Times New Roman"/>
          <w:bCs/>
          <w:spacing w:val="-2"/>
          <w:sz w:val="24"/>
          <w:szCs w:val="24"/>
        </w:rPr>
        <w:t>, informes de agencias de salud (por ejemplo, OMS, NIH, organismos regionales), libros académicos especializados y documentos técnicos de institutos científicos. Estas fuentes permiten contextualizar los hallazgos primarios, ofrecer panoramas amplios, comparar diferentes estudios y derivar conclusiones integradas</w:t>
      </w:r>
      <w:r w:rsidR="00411B42" w:rsidRPr="003013DE">
        <w:rPr>
          <w:rFonts w:ascii="Times New Roman" w:hAnsi="Times New Roman" w:cs="Times New Roman"/>
          <w:bCs/>
          <w:spacing w:val="-2"/>
          <w:sz w:val="24"/>
          <w:szCs w:val="24"/>
          <w:vertAlign w:val="superscript"/>
        </w:rPr>
        <w:t>80</w:t>
      </w:r>
      <w:r w:rsidRPr="003013DE">
        <w:rPr>
          <w:rFonts w:ascii="Times New Roman" w:hAnsi="Times New Roman" w:cs="Times New Roman"/>
          <w:bCs/>
          <w:spacing w:val="-2"/>
          <w:sz w:val="24"/>
          <w:szCs w:val="24"/>
        </w:rPr>
        <w:t>.</w:t>
      </w:r>
    </w:p>
    <w:p w14:paraId="793A68AF" w14:textId="375FB2C3" w:rsidR="000D1BF0" w:rsidRPr="003013DE" w:rsidRDefault="000D1BF0" w:rsidP="00561239">
      <w:pPr>
        <w:spacing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lastRenderedPageBreak/>
        <w:t>Particularmente, se considerarán informes de organismos internacionales sobre salud intestinal, microbiota y enfermedades neurológicas, guías de investigación en microbioma, documentos de consenso y libros de referencia en neurociencia o microbiología. Estas fuentes aportan respaldo teórico, marcos conceptuales y puntos de vista integradores que enriquecen la interpretación de la evidencia primaria</w:t>
      </w:r>
      <w:r w:rsidR="00411B42" w:rsidRPr="003013DE">
        <w:rPr>
          <w:rFonts w:ascii="Times New Roman" w:hAnsi="Times New Roman" w:cs="Times New Roman"/>
          <w:bCs/>
          <w:spacing w:val="-2"/>
          <w:sz w:val="24"/>
          <w:szCs w:val="24"/>
          <w:vertAlign w:val="superscript"/>
        </w:rPr>
        <w:t>80</w:t>
      </w:r>
      <w:r w:rsidRPr="003013DE">
        <w:rPr>
          <w:rFonts w:ascii="Times New Roman" w:hAnsi="Times New Roman" w:cs="Times New Roman"/>
          <w:bCs/>
          <w:spacing w:val="-2"/>
          <w:sz w:val="24"/>
          <w:szCs w:val="24"/>
        </w:rPr>
        <w:t>.</w:t>
      </w:r>
    </w:p>
    <w:p w14:paraId="50CEF9D5" w14:textId="704F4B6E" w:rsidR="000D1BF0" w:rsidRPr="003013DE" w:rsidRDefault="000D1BF0" w:rsidP="00FA61E0">
      <w:pPr>
        <w:pStyle w:val="Ttulo1"/>
        <w:rPr>
          <w:rFonts w:cs="Times New Roman"/>
          <w:b w:val="0"/>
          <w:color w:val="auto"/>
          <w:spacing w:val="-2"/>
          <w:szCs w:val="24"/>
        </w:rPr>
      </w:pPr>
      <w:bookmarkStart w:id="102" w:name="_Toc223177188"/>
      <w:r w:rsidRPr="003013DE">
        <w:rPr>
          <w:rFonts w:cs="Times New Roman"/>
          <w:color w:val="auto"/>
          <w:spacing w:val="-2"/>
          <w:szCs w:val="24"/>
        </w:rPr>
        <w:t>3.</w:t>
      </w:r>
      <w:r w:rsidR="00FA61E0" w:rsidRPr="003013DE">
        <w:rPr>
          <w:rFonts w:cs="Times New Roman"/>
          <w:b w:val="0"/>
          <w:color w:val="auto"/>
          <w:spacing w:val="-2"/>
          <w:szCs w:val="24"/>
        </w:rPr>
        <w:t>4</w:t>
      </w:r>
      <w:r w:rsidRPr="003013DE">
        <w:rPr>
          <w:rFonts w:cs="Times New Roman"/>
          <w:color w:val="auto"/>
          <w:spacing w:val="-2"/>
          <w:szCs w:val="24"/>
        </w:rPr>
        <w:t xml:space="preserve"> Criterios de búsqueda</w:t>
      </w:r>
      <w:bookmarkEnd w:id="102"/>
    </w:p>
    <w:p w14:paraId="7475BF74" w14:textId="7763156C" w:rsidR="007932B1" w:rsidRPr="003013DE" w:rsidRDefault="006A5EBE" w:rsidP="00C00C0D">
      <w:pPr>
        <w:spacing w:before="240"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 xml:space="preserve">Con el fin de asegurar rigor, trazabilidad y coherencia en la identificación de la literatura científica pertinente, se establecieron criterios de búsqueda explícitos que orientaron la localización de estudios en bases de datos especializadas y organismos internacionales. Estos criterios incluyeron la definición de descriptores temáticos alineados con los objetivos de la investigación, el periodo de publicación, los idiomas aceptados y las fuentes de información consultadas, garantizando así una selección actualizada, pertinente y metodológicamente sólida. </w:t>
      </w:r>
      <w:r w:rsidR="000D1BF0" w:rsidRPr="003013DE">
        <w:rPr>
          <w:rFonts w:ascii="Times New Roman" w:hAnsi="Times New Roman" w:cs="Times New Roman"/>
          <w:bCs/>
          <w:spacing w:val="-2"/>
          <w:sz w:val="24"/>
          <w:szCs w:val="24"/>
        </w:rPr>
        <w:t>Algunos criterios propuestos son:</w:t>
      </w:r>
    </w:p>
    <w:p w14:paraId="75F516A3" w14:textId="64BDDE84" w:rsidR="00B61F4E" w:rsidRPr="00F35382" w:rsidRDefault="001D7450" w:rsidP="001D7450">
      <w:pPr>
        <w:jc w:val="center"/>
        <w:rPr>
          <w:rFonts w:ascii="Times New Roman" w:eastAsia="Calibri" w:hAnsi="Times New Roman" w:cs="Times New Roman"/>
          <w:b/>
          <w:bCs/>
          <w:sz w:val="24"/>
          <w:szCs w:val="24"/>
          <w:lang w:eastAsia="es-CR"/>
        </w:rPr>
      </w:pPr>
      <w:bookmarkStart w:id="103" w:name="_Toc190972420"/>
      <w:bookmarkStart w:id="104" w:name="_Toc223177494"/>
      <w:r w:rsidRPr="00F35382">
        <w:rPr>
          <w:rFonts w:ascii="Times New Roman" w:hAnsi="Times New Roman" w:cs="Times New Roman"/>
          <w:b/>
          <w:bCs/>
          <w:sz w:val="24"/>
          <w:szCs w:val="24"/>
        </w:rPr>
        <w:t xml:space="preserve">Tabla </w:t>
      </w:r>
      <w:r w:rsidRPr="00F35382">
        <w:rPr>
          <w:rFonts w:ascii="Times New Roman" w:hAnsi="Times New Roman" w:cs="Times New Roman"/>
          <w:b/>
          <w:bCs/>
          <w:sz w:val="24"/>
          <w:szCs w:val="24"/>
        </w:rPr>
        <w:fldChar w:fldCharType="begin"/>
      </w:r>
      <w:r w:rsidRPr="00F35382">
        <w:rPr>
          <w:rFonts w:ascii="Times New Roman" w:hAnsi="Times New Roman" w:cs="Times New Roman"/>
          <w:b/>
          <w:bCs/>
          <w:sz w:val="24"/>
          <w:szCs w:val="24"/>
        </w:rPr>
        <w:instrText xml:space="preserve"> SEQ Tabla \* ARABIC </w:instrText>
      </w:r>
      <w:r w:rsidRPr="00F35382">
        <w:rPr>
          <w:rFonts w:ascii="Times New Roman" w:hAnsi="Times New Roman" w:cs="Times New Roman"/>
          <w:b/>
          <w:bCs/>
          <w:sz w:val="24"/>
          <w:szCs w:val="24"/>
        </w:rPr>
        <w:fldChar w:fldCharType="separate"/>
      </w:r>
      <w:r w:rsidRPr="00F35382">
        <w:rPr>
          <w:rFonts w:ascii="Times New Roman" w:hAnsi="Times New Roman" w:cs="Times New Roman"/>
          <w:b/>
          <w:bCs/>
          <w:noProof/>
          <w:sz w:val="24"/>
          <w:szCs w:val="24"/>
        </w:rPr>
        <w:t>1</w:t>
      </w:r>
      <w:r w:rsidRPr="00F35382">
        <w:rPr>
          <w:rFonts w:ascii="Times New Roman" w:hAnsi="Times New Roman" w:cs="Times New Roman"/>
          <w:b/>
          <w:bCs/>
          <w:sz w:val="24"/>
          <w:szCs w:val="24"/>
        </w:rPr>
        <w:fldChar w:fldCharType="end"/>
      </w:r>
      <w:r w:rsidRPr="00F35382">
        <w:rPr>
          <w:rFonts w:ascii="Times New Roman" w:hAnsi="Times New Roman" w:cs="Times New Roman"/>
          <w:b/>
          <w:bCs/>
          <w:sz w:val="24"/>
          <w:szCs w:val="24"/>
        </w:rPr>
        <w:t xml:space="preserve"> </w:t>
      </w:r>
      <w:r w:rsidR="000119BE" w:rsidRPr="00F35382">
        <w:rPr>
          <w:rFonts w:ascii="Times New Roman" w:hAnsi="Times New Roman" w:cs="Times New Roman"/>
          <w:b/>
          <w:bCs/>
          <w:sz w:val="24"/>
          <w:szCs w:val="24"/>
        </w:rPr>
        <w:t>Criterios de búsqueda</w:t>
      </w:r>
      <w:bookmarkEnd w:id="103"/>
      <w:bookmarkEnd w:id="104"/>
    </w:p>
    <w:tbl>
      <w:tblPr>
        <w:tblW w:w="8827" w:type="dxa"/>
        <w:tblInd w:w="-103" w:type="dxa"/>
        <w:tblLayout w:type="fixed"/>
        <w:tblCellMar>
          <w:left w:w="10" w:type="dxa"/>
          <w:right w:w="10" w:type="dxa"/>
        </w:tblCellMar>
        <w:tblLook w:val="04A0" w:firstRow="1" w:lastRow="0" w:firstColumn="1" w:lastColumn="0" w:noHBand="0" w:noVBand="1"/>
      </w:tblPr>
      <w:tblGrid>
        <w:gridCol w:w="1765"/>
        <w:gridCol w:w="1765"/>
        <w:gridCol w:w="1766"/>
        <w:gridCol w:w="1765"/>
        <w:gridCol w:w="1766"/>
      </w:tblGrid>
      <w:tr w:rsidR="003013DE" w:rsidRPr="003013DE" w14:paraId="5E109DC4" w14:textId="77777777" w:rsidTr="0030351C">
        <w:trPr>
          <w:tblHeader/>
        </w:trPr>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7273F5" w14:textId="77777777" w:rsidR="00B61F4E" w:rsidRPr="003013DE" w:rsidRDefault="00B61F4E" w:rsidP="00B61F4E">
            <w:pPr>
              <w:widowControl w:val="0"/>
              <w:suppressAutoHyphens/>
              <w:autoSpaceDN w:val="0"/>
              <w:spacing w:line="480" w:lineRule="auto"/>
              <w:textAlignment w:val="baseline"/>
              <w:rPr>
                <w:rFonts w:ascii="Times New Roman" w:eastAsia="Times New Roman" w:hAnsi="Times New Roman" w:cs="Times New Roman"/>
                <w:b/>
                <w:sz w:val="24"/>
                <w:szCs w:val="24"/>
                <w:highlight w:val="red"/>
                <w:lang w:eastAsia="es-CR"/>
              </w:rPr>
            </w:pPr>
            <w:r w:rsidRPr="003013DE">
              <w:rPr>
                <w:rFonts w:ascii="Times New Roman" w:eastAsia="Times New Roman" w:hAnsi="Times New Roman" w:cs="Times New Roman"/>
                <w:b/>
                <w:sz w:val="24"/>
                <w:szCs w:val="24"/>
                <w:lang w:eastAsia="es-CR"/>
              </w:rPr>
              <w:t>Objetivo</w:t>
            </w: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D76ADF" w14:textId="77777777" w:rsidR="00B61F4E" w:rsidRPr="003013DE" w:rsidRDefault="00B61F4E" w:rsidP="00B61F4E">
            <w:pPr>
              <w:widowControl w:val="0"/>
              <w:suppressAutoHyphens/>
              <w:autoSpaceDN w:val="0"/>
              <w:spacing w:line="480" w:lineRule="auto"/>
              <w:textAlignment w:val="baseline"/>
              <w:rPr>
                <w:rFonts w:ascii="Times New Roman" w:eastAsia="Times New Roman" w:hAnsi="Times New Roman" w:cs="Times New Roman"/>
                <w:b/>
                <w:sz w:val="24"/>
                <w:szCs w:val="24"/>
                <w:lang w:eastAsia="es-CR"/>
              </w:rPr>
            </w:pPr>
            <w:r w:rsidRPr="003013DE">
              <w:rPr>
                <w:rFonts w:ascii="Times New Roman" w:eastAsia="Times New Roman" w:hAnsi="Times New Roman" w:cs="Times New Roman"/>
                <w:b/>
                <w:sz w:val="24"/>
                <w:szCs w:val="24"/>
                <w:lang w:eastAsia="es-CR"/>
              </w:rPr>
              <w:t>Descriptores</w:t>
            </w: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2BEA4C" w14:textId="77777777" w:rsidR="00B61F4E" w:rsidRPr="003013DE" w:rsidRDefault="00B61F4E" w:rsidP="00B61F4E">
            <w:pPr>
              <w:widowControl w:val="0"/>
              <w:suppressAutoHyphens/>
              <w:autoSpaceDN w:val="0"/>
              <w:spacing w:line="480" w:lineRule="auto"/>
              <w:textAlignment w:val="baseline"/>
              <w:rPr>
                <w:rFonts w:ascii="Times New Roman" w:eastAsia="Times New Roman" w:hAnsi="Times New Roman" w:cs="Times New Roman"/>
                <w:b/>
                <w:sz w:val="24"/>
                <w:szCs w:val="24"/>
                <w:lang w:eastAsia="es-CR"/>
              </w:rPr>
            </w:pPr>
            <w:r w:rsidRPr="003013DE">
              <w:rPr>
                <w:rFonts w:ascii="Times New Roman" w:eastAsia="Times New Roman" w:hAnsi="Times New Roman" w:cs="Times New Roman"/>
                <w:b/>
                <w:sz w:val="24"/>
                <w:szCs w:val="24"/>
                <w:lang w:eastAsia="es-CR"/>
              </w:rPr>
              <w:t>Motores de búsqueda</w:t>
            </w: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C80DB2" w14:textId="77777777" w:rsidR="00B61F4E" w:rsidRPr="003013DE" w:rsidRDefault="00B61F4E" w:rsidP="00B61F4E">
            <w:pPr>
              <w:widowControl w:val="0"/>
              <w:suppressAutoHyphens/>
              <w:autoSpaceDN w:val="0"/>
              <w:spacing w:line="480" w:lineRule="auto"/>
              <w:textAlignment w:val="baseline"/>
              <w:rPr>
                <w:rFonts w:ascii="Times New Roman" w:eastAsia="Times New Roman" w:hAnsi="Times New Roman" w:cs="Times New Roman"/>
                <w:b/>
                <w:sz w:val="24"/>
                <w:szCs w:val="24"/>
                <w:lang w:eastAsia="es-CR"/>
              </w:rPr>
            </w:pPr>
            <w:r w:rsidRPr="003013DE">
              <w:rPr>
                <w:rFonts w:ascii="Times New Roman" w:eastAsia="Times New Roman" w:hAnsi="Times New Roman" w:cs="Times New Roman"/>
                <w:b/>
                <w:sz w:val="24"/>
                <w:szCs w:val="24"/>
                <w:lang w:eastAsia="es-CR"/>
              </w:rPr>
              <w:t>Periodo de estudio</w:t>
            </w: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C24652" w14:textId="77777777" w:rsidR="00B61F4E" w:rsidRPr="003013DE" w:rsidRDefault="00B61F4E" w:rsidP="00B61F4E">
            <w:pPr>
              <w:widowControl w:val="0"/>
              <w:suppressAutoHyphens/>
              <w:autoSpaceDN w:val="0"/>
              <w:spacing w:line="480" w:lineRule="auto"/>
              <w:textAlignment w:val="baseline"/>
              <w:rPr>
                <w:rFonts w:ascii="Times New Roman" w:eastAsia="Times New Roman" w:hAnsi="Times New Roman" w:cs="Times New Roman"/>
                <w:b/>
                <w:sz w:val="24"/>
                <w:szCs w:val="24"/>
                <w:lang w:eastAsia="es-CR"/>
              </w:rPr>
            </w:pPr>
            <w:r w:rsidRPr="003013DE">
              <w:rPr>
                <w:rFonts w:ascii="Times New Roman" w:eastAsia="Times New Roman" w:hAnsi="Times New Roman" w:cs="Times New Roman"/>
                <w:b/>
                <w:sz w:val="24"/>
                <w:szCs w:val="24"/>
                <w:lang w:eastAsia="es-CR"/>
              </w:rPr>
              <w:t>Idioma</w:t>
            </w:r>
          </w:p>
        </w:tc>
      </w:tr>
      <w:tr w:rsidR="003013DE" w:rsidRPr="003013DE" w14:paraId="2B427634" w14:textId="77777777" w:rsidTr="0030351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0E6DA3" w14:textId="77777777" w:rsidR="007932B1" w:rsidRPr="003013DE" w:rsidRDefault="007932B1" w:rsidP="007932B1">
            <w:p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lang w:eastAsia="es-ES"/>
              </w:rPr>
              <w:t>Describir los principales mecanismos del eje intestino–cerebros implicados en el desarrollo y progresión de enfermedades neurodegenerativas.</w:t>
            </w:r>
          </w:p>
          <w:p w14:paraId="3E814A36" w14:textId="4C9E3646" w:rsidR="00B61F4E" w:rsidRPr="003013DE" w:rsidRDefault="00B61F4E"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highlight w:val="red"/>
                <w:lang w:eastAsia="es-CR"/>
              </w:rPr>
            </w:pP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D8DEC3" w14:textId="77777777" w:rsidR="000119BE" w:rsidRPr="003013DE" w:rsidRDefault="00B04DE1" w:rsidP="00436739">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lastRenderedPageBreak/>
              <w:t xml:space="preserve">Eje intestino cerebro </w:t>
            </w:r>
          </w:p>
          <w:p w14:paraId="0108C393" w14:textId="2C498B29" w:rsidR="00B04DE1" w:rsidRPr="003013DE" w:rsidRDefault="006E3DF1" w:rsidP="00436739">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 xml:space="preserve">Desarrollo y progresión de enfermedades neurodegenerativas </w:t>
            </w: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56E4AF" w14:textId="77777777" w:rsidR="00B61F4E" w:rsidRPr="003013DE" w:rsidRDefault="00D675B2" w:rsidP="00B61F4E">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Pubmed </w:t>
            </w:r>
          </w:p>
          <w:p w14:paraId="01AA09C5" w14:textId="77777777" w:rsidR="00D675B2" w:rsidRPr="003013DE" w:rsidRDefault="00D675B2" w:rsidP="00B61F4E">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Enbase </w:t>
            </w:r>
          </w:p>
          <w:p w14:paraId="0B024D31" w14:textId="77777777" w:rsidR="00D675B2" w:rsidRPr="003013DE" w:rsidRDefault="00D675B2" w:rsidP="00B61F4E">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Kerwa </w:t>
            </w:r>
          </w:p>
          <w:p w14:paraId="0B0C566E" w14:textId="77777777" w:rsidR="00D675B2" w:rsidRPr="003013DE" w:rsidRDefault="00D675B2" w:rsidP="00B61F4E">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OPS </w:t>
            </w:r>
          </w:p>
          <w:p w14:paraId="4C483ECE" w14:textId="77777777" w:rsidR="00D675B2" w:rsidRPr="003013DE" w:rsidRDefault="00D675B2" w:rsidP="00B61F4E">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OMS </w:t>
            </w:r>
          </w:p>
          <w:p w14:paraId="77C9C998" w14:textId="77777777" w:rsidR="00D675B2" w:rsidRPr="003013DE" w:rsidRDefault="00D0334A" w:rsidP="00B61F4E">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Medigraphic </w:t>
            </w:r>
          </w:p>
          <w:p w14:paraId="48439C98" w14:textId="7275D30F" w:rsidR="00D0334A" w:rsidRPr="003013DE" w:rsidRDefault="00D0334A" w:rsidP="00B61F4E">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Elsevier </w:t>
            </w: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DB43EA" w14:textId="04C7DFDD" w:rsidR="00B61F4E"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2020-2025</w:t>
            </w: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C9655D" w14:textId="073996BB" w:rsidR="00B61F4E"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 xml:space="preserve">Español, inglés y portugués </w:t>
            </w:r>
          </w:p>
        </w:tc>
      </w:tr>
      <w:tr w:rsidR="003013DE" w:rsidRPr="003013DE" w14:paraId="404AB8C2" w14:textId="77777777" w:rsidTr="0030351C">
        <w:trPr>
          <w:trHeight w:val="6506"/>
        </w:trPr>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AA011C" w14:textId="77777777" w:rsidR="00025111" w:rsidRPr="003013DE" w:rsidRDefault="00025111" w:rsidP="007932B1">
            <w:p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lang w:eastAsia="es-ES"/>
              </w:rPr>
              <w:t>Identificar la relación entre alteraciones de la microbiota intestinal y patologías neurodegenerativas como Alzheimer, Parkinson y esclerosis múltiple.</w:t>
            </w:r>
          </w:p>
          <w:p w14:paraId="2FBD856E" w14:textId="7B7377CC" w:rsidR="00025111" w:rsidRPr="003013DE" w:rsidRDefault="00025111"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1227E9C" w14:textId="77777777" w:rsidR="00025111" w:rsidRPr="003013DE" w:rsidRDefault="009D3B4A"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Alteraciones de la microbiota intestinal</w:t>
            </w:r>
          </w:p>
          <w:p w14:paraId="39822AA6" w14:textId="77777777" w:rsidR="009D3B4A" w:rsidRPr="003013DE" w:rsidRDefault="009D3B4A"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 xml:space="preserve">Patologías y enfermedades neurodegenerativas </w:t>
            </w:r>
          </w:p>
          <w:p w14:paraId="6F6617A5" w14:textId="77777777" w:rsidR="00312BCB" w:rsidRPr="003013DE" w:rsidRDefault="00312BCB" w:rsidP="00312BCB">
            <w:p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lang w:eastAsia="es-ES"/>
              </w:rPr>
              <w:t>Alzheimer, Parkinson y esclerosis múltiple.</w:t>
            </w:r>
          </w:p>
          <w:p w14:paraId="14B48CF4" w14:textId="56ACA965" w:rsidR="009D3B4A" w:rsidRPr="003013DE" w:rsidRDefault="009D3B4A"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17938"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Pubmed </w:t>
            </w:r>
          </w:p>
          <w:p w14:paraId="38044624"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Enbase </w:t>
            </w:r>
          </w:p>
          <w:p w14:paraId="1703A308"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Kerwa </w:t>
            </w:r>
          </w:p>
          <w:p w14:paraId="0192161E"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OPS </w:t>
            </w:r>
          </w:p>
          <w:p w14:paraId="5C6736D1"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OMS </w:t>
            </w:r>
          </w:p>
          <w:p w14:paraId="7EAED96C"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Medigraphic </w:t>
            </w:r>
          </w:p>
          <w:p w14:paraId="6D9024C2" w14:textId="14D80650" w:rsidR="00025111"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Elsevier </w:t>
            </w: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DF288D" w14:textId="1C80BF97" w:rsidR="00025111"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2020-2025</w:t>
            </w: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238FA7" w14:textId="3C45400F" w:rsidR="00025111"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 xml:space="preserve">Español, inglés y portugués </w:t>
            </w:r>
          </w:p>
        </w:tc>
      </w:tr>
      <w:tr w:rsidR="003013DE" w:rsidRPr="003013DE" w14:paraId="159558CD" w14:textId="77777777" w:rsidTr="0030351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2F1486" w14:textId="77777777" w:rsidR="00025111" w:rsidRPr="003013DE" w:rsidRDefault="00025111" w:rsidP="007932B1">
            <w:pPr>
              <w:spacing w:line="360" w:lineRule="auto"/>
              <w:jc w:val="both"/>
              <w:rPr>
                <w:rFonts w:ascii="Times New Roman" w:hAnsi="Times New Roman" w:cs="Times New Roman"/>
                <w:sz w:val="24"/>
                <w:szCs w:val="24"/>
                <w:lang w:val="es-ES"/>
              </w:rPr>
            </w:pPr>
            <w:r w:rsidRPr="003013DE">
              <w:rPr>
                <w:rFonts w:ascii="Times New Roman" w:eastAsia="Times New Roman" w:hAnsi="Times New Roman" w:cs="Times New Roman"/>
                <w:sz w:val="24"/>
                <w:szCs w:val="24"/>
                <w:lang w:eastAsia="es-ES"/>
              </w:rPr>
              <w:t xml:space="preserve">Revisar críticamente las intervenciones terapéuticas dirigidas a modular el microbiota intestinal y su impacto en la </w:t>
            </w:r>
            <w:r w:rsidRPr="003013DE">
              <w:rPr>
                <w:rFonts w:ascii="Times New Roman" w:eastAsia="Times New Roman" w:hAnsi="Times New Roman" w:cs="Times New Roman"/>
                <w:sz w:val="24"/>
                <w:szCs w:val="24"/>
                <w:lang w:eastAsia="es-ES"/>
              </w:rPr>
              <w:lastRenderedPageBreak/>
              <w:t>salud neurológica.</w:t>
            </w:r>
          </w:p>
          <w:p w14:paraId="0D9EC212" w14:textId="17C7C898" w:rsidR="00025111" w:rsidRPr="003013DE" w:rsidRDefault="00025111" w:rsidP="00B61F4E">
            <w:pPr>
              <w:widowControl w:val="0"/>
              <w:shd w:val="clear" w:color="auto" w:fill="FFFFFF"/>
              <w:suppressAutoHyphens/>
              <w:autoSpaceDN w:val="0"/>
              <w:spacing w:line="480" w:lineRule="auto"/>
              <w:jc w:val="both"/>
              <w:textAlignment w:val="baseline"/>
              <w:rPr>
                <w:rFonts w:ascii="Times New Roman" w:eastAsia="Calibri" w:hAnsi="Times New Roman" w:cs="Times New Roman"/>
                <w:sz w:val="24"/>
                <w:szCs w:val="24"/>
                <w:lang w:eastAsia="es-CR"/>
              </w:rPr>
            </w:pP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B7FA2C" w14:textId="77777777" w:rsidR="00025111" w:rsidRPr="003013DE" w:rsidRDefault="00312BCB"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lastRenderedPageBreak/>
              <w:t xml:space="preserve">Intervenciones terapéuticas </w:t>
            </w:r>
          </w:p>
          <w:p w14:paraId="305215D1" w14:textId="77777777" w:rsidR="00312BCB" w:rsidRPr="003013DE" w:rsidRDefault="00312BCB"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 xml:space="preserve">Microbiota intestinal modulada </w:t>
            </w:r>
          </w:p>
          <w:p w14:paraId="1E87ECFB" w14:textId="7BF48F5D" w:rsidR="00312BCB" w:rsidRPr="003013DE" w:rsidRDefault="00312BCB" w:rsidP="00B61F4E">
            <w:pPr>
              <w:widowControl w:val="0"/>
              <w:suppressAutoHyphens/>
              <w:autoSpaceDN w:val="0"/>
              <w:spacing w:line="48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 xml:space="preserve">Implanto de la microbiota en la </w:t>
            </w:r>
            <w:r w:rsidRPr="003013DE">
              <w:rPr>
                <w:rFonts w:ascii="Times New Roman" w:eastAsia="Times New Roman" w:hAnsi="Times New Roman" w:cs="Times New Roman"/>
                <w:sz w:val="24"/>
                <w:szCs w:val="24"/>
                <w:lang w:eastAsia="es-CR"/>
              </w:rPr>
              <w:lastRenderedPageBreak/>
              <w:t xml:space="preserve">salud neurologica </w:t>
            </w: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9F2E23"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lastRenderedPageBreak/>
              <w:t xml:space="preserve">Pubmed </w:t>
            </w:r>
          </w:p>
          <w:p w14:paraId="0CB9A725"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Enbase </w:t>
            </w:r>
          </w:p>
          <w:p w14:paraId="494DF348"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Kerwa </w:t>
            </w:r>
          </w:p>
          <w:p w14:paraId="4E7AFDE0"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OPS </w:t>
            </w:r>
          </w:p>
          <w:p w14:paraId="5F6A69B8"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OMS </w:t>
            </w:r>
          </w:p>
          <w:p w14:paraId="10668E8A" w14:textId="77777777" w:rsidR="00025111" w:rsidRPr="003013DE" w:rsidRDefault="00025111" w:rsidP="00E57670">
            <w:pPr>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lastRenderedPageBreak/>
              <w:t xml:space="preserve">Medigraphic </w:t>
            </w:r>
          </w:p>
          <w:p w14:paraId="5F9B14C0" w14:textId="4976FDAD" w:rsidR="00025111"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val="en-US" w:eastAsia="es-CR"/>
              </w:rPr>
            </w:pPr>
            <w:r w:rsidRPr="003013DE">
              <w:rPr>
                <w:rFonts w:ascii="Times New Roman" w:eastAsia="Times New Roman" w:hAnsi="Times New Roman" w:cs="Times New Roman"/>
                <w:sz w:val="24"/>
                <w:szCs w:val="24"/>
                <w:lang w:val="en-US" w:eastAsia="es-CR"/>
              </w:rPr>
              <w:t xml:space="preserve">Elsevier </w:t>
            </w:r>
          </w:p>
        </w:tc>
        <w:tc>
          <w:tcPr>
            <w:tcW w:w="17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77F319" w14:textId="35E8A2AA" w:rsidR="00025111"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lastRenderedPageBreak/>
              <w:t>2020-2025</w:t>
            </w:r>
          </w:p>
        </w:tc>
        <w:tc>
          <w:tcPr>
            <w:tcW w:w="176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B5EEC2" w14:textId="2A9061D7" w:rsidR="00025111" w:rsidRPr="003013DE" w:rsidRDefault="00025111" w:rsidP="00B61F4E">
            <w:pPr>
              <w:widowControl w:val="0"/>
              <w:suppressAutoHyphens/>
              <w:autoSpaceDN w:val="0"/>
              <w:spacing w:line="48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 xml:space="preserve">Español, inglés y portugués </w:t>
            </w:r>
          </w:p>
        </w:tc>
      </w:tr>
    </w:tbl>
    <w:p w14:paraId="1D4173D2" w14:textId="77777777" w:rsidR="00B61F4E" w:rsidRPr="003013DE" w:rsidRDefault="00B61F4E" w:rsidP="00B61F4E">
      <w:pPr>
        <w:suppressAutoHyphens/>
        <w:autoSpaceDN w:val="0"/>
        <w:spacing w:line="480" w:lineRule="auto"/>
        <w:ind w:firstLine="709"/>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Fuente: Elaboración propia, 2024</w:t>
      </w:r>
    </w:p>
    <w:p w14:paraId="7868AE79" w14:textId="1F29B317" w:rsidR="00B61F4E" w:rsidRPr="003013DE" w:rsidRDefault="00B61F4E" w:rsidP="001D7450">
      <w:pPr>
        <w:pStyle w:val="Ttulo1"/>
        <w:rPr>
          <w:rFonts w:cs="Times New Roman"/>
          <w:b w:val="0"/>
          <w:color w:val="auto"/>
          <w:spacing w:val="-2"/>
          <w:szCs w:val="24"/>
        </w:rPr>
      </w:pPr>
      <w:bookmarkStart w:id="105" w:name="_Toc223177189"/>
      <w:r w:rsidRPr="003013DE">
        <w:rPr>
          <w:rFonts w:cs="Times New Roman"/>
          <w:color w:val="auto"/>
          <w:spacing w:val="-2"/>
          <w:szCs w:val="24"/>
        </w:rPr>
        <w:t>3.5 Criterios de inclusión y exclusión</w:t>
      </w:r>
      <w:bookmarkEnd w:id="105"/>
    </w:p>
    <w:p w14:paraId="3ADC8843" w14:textId="21D2BFDC" w:rsidR="00114A84" w:rsidRPr="003013DE" w:rsidRDefault="00114A84" w:rsidP="00C00C0D">
      <w:pPr>
        <w:spacing w:before="240" w:line="360" w:lineRule="auto"/>
        <w:ind w:firstLine="708"/>
        <w:jc w:val="both"/>
        <w:rPr>
          <w:rFonts w:ascii="Times New Roman" w:hAnsi="Times New Roman" w:cs="Times New Roman"/>
          <w:bCs/>
          <w:spacing w:val="-2"/>
          <w:sz w:val="24"/>
          <w:szCs w:val="24"/>
        </w:rPr>
      </w:pPr>
      <w:r w:rsidRPr="003013DE">
        <w:rPr>
          <w:rFonts w:ascii="Times New Roman" w:hAnsi="Times New Roman" w:cs="Times New Roman"/>
          <w:bCs/>
          <w:spacing w:val="-2"/>
          <w:sz w:val="24"/>
          <w:szCs w:val="24"/>
        </w:rPr>
        <w:t>Para delimitar el alcance de la revisión y mantener consistencia metodológica, se definieron criterios de inclusión y exclusión previamente establecidos. Estos criterios permitieron seleccionar estudios con pertinencia temática, calidad científica y relevancia clínica, al tiempo que se descartaron publicaciones que no cumplían con estándares académicos, no abordaban directamente la relación entre microbiota intestinal y enfermedades neurodegenerativas, o presentaban limitaciones metodológicas significativas.</w:t>
      </w:r>
    </w:p>
    <w:p w14:paraId="4775E9C4" w14:textId="46853427" w:rsidR="00B61F4E" w:rsidRPr="00F35382" w:rsidRDefault="001D7450" w:rsidP="001D7450">
      <w:pPr>
        <w:jc w:val="center"/>
        <w:rPr>
          <w:rFonts w:ascii="Times New Roman" w:eastAsia="Times New Roman" w:hAnsi="Times New Roman" w:cs="Times New Roman"/>
          <w:b/>
          <w:bCs/>
          <w:sz w:val="24"/>
          <w:szCs w:val="24"/>
          <w:lang w:eastAsia="es-CR"/>
        </w:rPr>
      </w:pPr>
      <w:bookmarkStart w:id="106" w:name="_Toc190972421"/>
      <w:bookmarkStart w:id="107" w:name="_Toc223177495"/>
      <w:r w:rsidRPr="00F35382">
        <w:rPr>
          <w:rFonts w:ascii="Times New Roman" w:hAnsi="Times New Roman" w:cs="Times New Roman"/>
          <w:b/>
          <w:bCs/>
          <w:sz w:val="24"/>
          <w:szCs w:val="24"/>
        </w:rPr>
        <w:t xml:space="preserve">Tabla </w:t>
      </w:r>
      <w:r w:rsidRPr="00F35382">
        <w:rPr>
          <w:rFonts w:ascii="Times New Roman" w:hAnsi="Times New Roman" w:cs="Times New Roman"/>
          <w:b/>
          <w:bCs/>
          <w:sz w:val="24"/>
          <w:szCs w:val="24"/>
        </w:rPr>
        <w:fldChar w:fldCharType="begin"/>
      </w:r>
      <w:r w:rsidRPr="00F35382">
        <w:rPr>
          <w:rFonts w:ascii="Times New Roman" w:hAnsi="Times New Roman" w:cs="Times New Roman"/>
          <w:b/>
          <w:bCs/>
          <w:sz w:val="24"/>
          <w:szCs w:val="24"/>
        </w:rPr>
        <w:instrText xml:space="preserve"> SEQ Tabla \* ARABIC </w:instrText>
      </w:r>
      <w:r w:rsidRPr="00F35382">
        <w:rPr>
          <w:rFonts w:ascii="Times New Roman" w:hAnsi="Times New Roman" w:cs="Times New Roman"/>
          <w:b/>
          <w:bCs/>
          <w:sz w:val="24"/>
          <w:szCs w:val="24"/>
        </w:rPr>
        <w:fldChar w:fldCharType="separate"/>
      </w:r>
      <w:r w:rsidRPr="00F35382">
        <w:rPr>
          <w:rFonts w:ascii="Times New Roman" w:hAnsi="Times New Roman" w:cs="Times New Roman"/>
          <w:b/>
          <w:bCs/>
          <w:noProof/>
          <w:sz w:val="24"/>
          <w:szCs w:val="24"/>
        </w:rPr>
        <w:t>2</w:t>
      </w:r>
      <w:r w:rsidRPr="00F35382">
        <w:rPr>
          <w:rFonts w:ascii="Times New Roman" w:hAnsi="Times New Roman" w:cs="Times New Roman"/>
          <w:b/>
          <w:bCs/>
          <w:sz w:val="24"/>
          <w:szCs w:val="24"/>
        </w:rPr>
        <w:fldChar w:fldCharType="end"/>
      </w:r>
      <w:r w:rsidRPr="00F35382">
        <w:rPr>
          <w:rFonts w:ascii="Times New Roman" w:hAnsi="Times New Roman" w:cs="Times New Roman"/>
          <w:b/>
          <w:bCs/>
          <w:sz w:val="24"/>
          <w:szCs w:val="24"/>
        </w:rPr>
        <w:t xml:space="preserve"> </w:t>
      </w:r>
      <w:r w:rsidR="00B61F4E" w:rsidRPr="00F35382">
        <w:rPr>
          <w:rFonts w:ascii="Times New Roman" w:eastAsia="Times New Roman" w:hAnsi="Times New Roman" w:cs="Times New Roman"/>
          <w:b/>
          <w:bCs/>
          <w:sz w:val="24"/>
          <w:szCs w:val="24"/>
          <w:lang w:eastAsia="es-CR"/>
        </w:rPr>
        <w:t>Criterios de inclusión y exclusión</w:t>
      </w:r>
      <w:bookmarkEnd w:id="106"/>
      <w:bookmarkEnd w:id="107"/>
    </w:p>
    <w:tbl>
      <w:tblPr>
        <w:tblW w:w="8827" w:type="dxa"/>
        <w:tblInd w:w="-103" w:type="dxa"/>
        <w:tblLayout w:type="fixed"/>
        <w:tblCellMar>
          <w:left w:w="10" w:type="dxa"/>
          <w:right w:w="10" w:type="dxa"/>
        </w:tblCellMar>
        <w:tblLook w:val="04A0" w:firstRow="1" w:lastRow="0" w:firstColumn="1" w:lastColumn="0" w:noHBand="0" w:noVBand="1"/>
      </w:tblPr>
      <w:tblGrid>
        <w:gridCol w:w="4413"/>
        <w:gridCol w:w="4414"/>
      </w:tblGrid>
      <w:tr w:rsidR="003013DE" w:rsidRPr="003013DE" w14:paraId="2CA903AF" w14:textId="77777777" w:rsidTr="0030351C">
        <w:tc>
          <w:tcPr>
            <w:tcW w:w="4413"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1195DBDF" w14:textId="77777777" w:rsidR="00B61F4E" w:rsidRPr="003013DE" w:rsidRDefault="00B61F4E" w:rsidP="0026136F">
            <w:pPr>
              <w:widowControl w:val="0"/>
              <w:suppressAutoHyphens/>
              <w:autoSpaceDN w:val="0"/>
              <w:spacing w:line="360" w:lineRule="auto"/>
              <w:ind w:firstLine="709"/>
              <w:jc w:val="both"/>
              <w:textAlignment w:val="baseline"/>
              <w:rPr>
                <w:rFonts w:ascii="Times New Roman" w:eastAsia="Times New Roman" w:hAnsi="Times New Roman" w:cs="Times New Roman"/>
                <w:b/>
                <w:sz w:val="24"/>
                <w:szCs w:val="24"/>
                <w:lang w:eastAsia="es-CR"/>
              </w:rPr>
            </w:pPr>
            <w:r w:rsidRPr="003013DE">
              <w:rPr>
                <w:rFonts w:ascii="Times New Roman" w:eastAsia="Times New Roman" w:hAnsi="Times New Roman" w:cs="Times New Roman"/>
                <w:b/>
                <w:sz w:val="24"/>
                <w:szCs w:val="24"/>
                <w:lang w:eastAsia="es-CR"/>
              </w:rPr>
              <w:t>Criterios de Inclusión</w:t>
            </w:r>
          </w:p>
        </w:tc>
        <w:tc>
          <w:tcPr>
            <w:tcW w:w="4414"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14:paraId="3D20C16B" w14:textId="77777777" w:rsidR="00B61F4E" w:rsidRPr="003013DE" w:rsidRDefault="00B61F4E" w:rsidP="0026136F">
            <w:pPr>
              <w:widowControl w:val="0"/>
              <w:suppressAutoHyphens/>
              <w:autoSpaceDN w:val="0"/>
              <w:spacing w:line="360" w:lineRule="auto"/>
              <w:ind w:firstLine="709"/>
              <w:jc w:val="center"/>
              <w:textAlignment w:val="baseline"/>
              <w:rPr>
                <w:rFonts w:ascii="Times New Roman" w:eastAsia="Times New Roman" w:hAnsi="Times New Roman" w:cs="Times New Roman"/>
                <w:b/>
                <w:sz w:val="24"/>
                <w:szCs w:val="24"/>
                <w:lang w:eastAsia="es-CR"/>
              </w:rPr>
            </w:pPr>
            <w:r w:rsidRPr="003013DE">
              <w:rPr>
                <w:rFonts w:ascii="Times New Roman" w:eastAsia="Times New Roman" w:hAnsi="Times New Roman" w:cs="Times New Roman"/>
                <w:b/>
                <w:sz w:val="24"/>
                <w:szCs w:val="24"/>
                <w:lang w:eastAsia="es-CR"/>
              </w:rPr>
              <w:t>Criterios de exclusión</w:t>
            </w:r>
          </w:p>
        </w:tc>
      </w:tr>
      <w:tr w:rsidR="003013DE" w:rsidRPr="003013DE" w14:paraId="370F050D" w14:textId="77777777" w:rsidTr="0030351C">
        <w:tc>
          <w:tcPr>
            <w:tcW w:w="4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FF13EF" w14:textId="719D104F" w:rsidR="00B61F4E" w:rsidRPr="003013DE" w:rsidRDefault="00447E7D" w:rsidP="0026136F">
            <w:pPr>
              <w:widowControl w:val="0"/>
              <w:suppressAutoHyphens/>
              <w:autoSpaceDN w:val="0"/>
              <w:spacing w:line="36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t>Artículos científicos publicados entre</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enero de 2020 y diciembre de 2025</w:t>
            </w:r>
            <w:r w:rsidRPr="003013DE">
              <w:rPr>
                <w:rFonts w:ascii="Times New Roman" w:eastAsia="Times New Roman" w:hAnsi="Times New Roman" w:cs="Times New Roman"/>
                <w:b/>
                <w:bCs/>
                <w:sz w:val="24"/>
                <w:szCs w:val="24"/>
              </w:rPr>
              <w:t xml:space="preserve">, </w:t>
            </w:r>
            <w:r w:rsidRPr="003013DE">
              <w:rPr>
                <w:rFonts w:ascii="Times New Roman" w:eastAsia="Times New Roman" w:hAnsi="Times New Roman" w:cs="Times New Roman"/>
                <w:sz w:val="24"/>
                <w:szCs w:val="24"/>
              </w:rPr>
              <w:t>para garantizar la actualidad de la evidencia</w:t>
            </w:r>
          </w:p>
        </w:tc>
        <w:tc>
          <w:tcPr>
            <w:tcW w:w="44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AC9CFA" w14:textId="711B2378" w:rsidR="00B61F4E" w:rsidRPr="003013DE" w:rsidRDefault="00FD049A" w:rsidP="0026136F">
            <w:pPr>
              <w:widowControl w:val="0"/>
              <w:suppressAutoHyphens/>
              <w:autoSpaceDN w:val="0"/>
              <w:spacing w:line="36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t>Artículos publicados</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antes del año 2020</w:t>
            </w:r>
            <w:r w:rsidRPr="003013DE">
              <w:rPr>
                <w:rStyle w:val="PiedepginaCar"/>
                <w:rFonts w:ascii="Times New Roman" w:eastAsia="Times New Roman" w:hAnsi="Times New Roman" w:cs="Times New Roman"/>
                <w:sz w:val="24"/>
                <w:szCs w:val="24"/>
              </w:rPr>
              <w:t> </w:t>
            </w:r>
            <w:r w:rsidRPr="003013DE">
              <w:rPr>
                <w:rFonts w:ascii="Times New Roman" w:eastAsia="Times New Roman" w:hAnsi="Times New Roman" w:cs="Times New Roman"/>
                <w:sz w:val="24"/>
                <w:szCs w:val="24"/>
              </w:rPr>
              <w:t>o sin fecha de publicación verificable</w:t>
            </w:r>
          </w:p>
        </w:tc>
      </w:tr>
      <w:tr w:rsidR="003013DE" w:rsidRPr="003013DE" w14:paraId="3B8A499D" w14:textId="77777777" w:rsidTr="0030351C">
        <w:tc>
          <w:tcPr>
            <w:tcW w:w="4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41A295" w14:textId="34CF8BBE" w:rsidR="00B61F4E" w:rsidRPr="003013DE" w:rsidRDefault="00447E7D" w:rsidP="0026136F">
            <w:pPr>
              <w:widowControl w:val="0"/>
              <w:suppressAutoHyphens/>
              <w:autoSpaceDN w:val="0"/>
              <w:spacing w:line="36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t>Se incluirán</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revisiones sistemáticas, revisiones narrativas, ensayos clínicos controlados, estudios de cohorte y estudios experimentales</w:t>
            </w:r>
            <w:r w:rsidRPr="003013DE">
              <w:rPr>
                <w:rStyle w:val="PiedepginaCar"/>
                <w:rFonts w:ascii="Times New Roman" w:eastAsia="Times New Roman" w:hAnsi="Times New Roman" w:cs="Times New Roman"/>
                <w:sz w:val="24"/>
                <w:szCs w:val="24"/>
              </w:rPr>
              <w:t> </w:t>
            </w:r>
            <w:r w:rsidRPr="003013DE">
              <w:rPr>
                <w:rFonts w:ascii="Times New Roman" w:eastAsia="Times New Roman" w:hAnsi="Times New Roman" w:cs="Times New Roman"/>
                <w:sz w:val="24"/>
                <w:szCs w:val="24"/>
              </w:rPr>
              <w:t>que aborden la relación entre microbiota intestinal y enfermedades neurodegenerativas</w:t>
            </w:r>
          </w:p>
        </w:tc>
        <w:tc>
          <w:tcPr>
            <w:tcW w:w="44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070652" w14:textId="610A491B" w:rsidR="00B61F4E" w:rsidRPr="003013DE" w:rsidRDefault="00FD049A" w:rsidP="0026136F">
            <w:pPr>
              <w:widowControl w:val="0"/>
              <w:suppressAutoHyphens/>
              <w:autoSpaceDN w:val="0"/>
              <w:spacing w:line="36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t>Se excluirán</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cartas al editor, resúmenes de congresos, editoriales, tesis, informes no revisados por pares</w:t>
            </w:r>
            <w:r w:rsidRPr="003013DE">
              <w:rPr>
                <w:rStyle w:val="PiedepginaCar"/>
                <w:rFonts w:ascii="Times New Roman" w:eastAsia="Times New Roman" w:hAnsi="Times New Roman" w:cs="Times New Roman"/>
                <w:sz w:val="24"/>
                <w:szCs w:val="24"/>
              </w:rPr>
              <w:t> </w:t>
            </w:r>
            <w:r w:rsidRPr="003013DE">
              <w:rPr>
                <w:rFonts w:ascii="Times New Roman" w:eastAsia="Times New Roman" w:hAnsi="Times New Roman" w:cs="Times New Roman"/>
                <w:sz w:val="24"/>
                <w:szCs w:val="24"/>
              </w:rPr>
              <w:t>o documentos sin rigor científico</w:t>
            </w:r>
          </w:p>
        </w:tc>
      </w:tr>
      <w:tr w:rsidR="003013DE" w:rsidRPr="003013DE" w14:paraId="0274160E" w14:textId="77777777" w:rsidTr="0030351C">
        <w:tc>
          <w:tcPr>
            <w:tcW w:w="4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36CD00" w14:textId="331B2E6B" w:rsidR="00B61F4E" w:rsidRPr="003013DE" w:rsidRDefault="00447E7D" w:rsidP="0026136F">
            <w:pPr>
              <w:widowControl w:val="0"/>
              <w:suppressAutoHyphens/>
              <w:autoSpaceDN w:val="0"/>
              <w:spacing w:line="360" w:lineRule="auto"/>
              <w:jc w:val="both"/>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t>Investigaciones realizadas en</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humanos adultos o modelos animales</w:t>
            </w:r>
            <w:r w:rsidRPr="003013DE">
              <w:rPr>
                <w:rStyle w:val="PiedepginaCar"/>
                <w:rFonts w:ascii="Times New Roman" w:eastAsia="Times New Roman" w:hAnsi="Times New Roman" w:cs="Times New Roman"/>
                <w:sz w:val="24"/>
                <w:szCs w:val="24"/>
              </w:rPr>
              <w:t> </w:t>
            </w:r>
            <w:r w:rsidRPr="003013DE">
              <w:rPr>
                <w:rFonts w:ascii="Times New Roman" w:eastAsia="Times New Roman" w:hAnsi="Times New Roman" w:cs="Times New Roman"/>
                <w:sz w:val="24"/>
                <w:szCs w:val="24"/>
              </w:rPr>
              <w:t xml:space="preserve">relevantes para </w:t>
            </w:r>
            <w:r w:rsidRPr="003013DE">
              <w:rPr>
                <w:rFonts w:ascii="Times New Roman" w:eastAsia="Times New Roman" w:hAnsi="Times New Roman" w:cs="Times New Roman"/>
                <w:sz w:val="24"/>
                <w:szCs w:val="24"/>
              </w:rPr>
              <w:lastRenderedPageBreak/>
              <w:t>el estudio de patologías neurodegenerativas (Alzheimer, Parkinson, esclerosis múltiple, entre otras)</w:t>
            </w:r>
          </w:p>
        </w:tc>
        <w:tc>
          <w:tcPr>
            <w:tcW w:w="44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633EFC" w14:textId="142D78A7" w:rsidR="00B61F4E" w:rsidRPr="003013DE" w:rsidRDefault="00FD049A" w:rsidP="0026136F">
            <w:pPr>
              <w:widowControl w:val="0"/>
              <w:suppressAutoHyphens/>
              <w:autoSpaceDN w:val="0"/>
              <w:spacing w:line="36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lastRenderedPageBreak/>
              <w:t>Estudios que se centren en</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otras patologías no neurodegenerativas</w:t>
            </w:r>
            <w:r w:rsidRPr="003013DE">
              <w:rPr>
                <w:rStyle w:val="PiedepginaCar"/>
                <w:rFonts w:ascii="Times New Roman" w:eastAsia="Times New Roman" w:hAnsi="Times New Roman" w:cs="Times New Roman"/>
                <w:sz w:val="24"/>
                <w:szCs w:val="24"/>
              </w:rPr>
              <w:t> </w:t>
            </w:r>
            <w:r w:rsidRPr="003013DE">
              <w:rPr>
                <w:rFonts w:ascii="Times New Roman" w:eastAsia="Times New Roman" w:hAnsi="Times New Roman" w:cs="Times New Roman"/>
                <w:sz w:val="24"/>
                <w:szCs w:val="24"/>
              </w:rPr>
              <w:t xml:space="preserve">(por ejemplo, </w:t>
            </w:r>
            <w:r w:rsidRPr="003013DE">
              <w:rPr>
                <w:rFonts w:ascii="Times New Roman" w:eastAsia="Times New Roman" w:hAnsi="Times New Roman" w:cs="Times New Roman"/>
                <w:sz w:val="24"/>
                <w:szCs w:val="24"/>
              </w:rPr>
              <w:lastRenderedPageBreak/>
              <w:t>trastornos psiquiátricos o gastrointestinales sin relación con el eje intestino–cerebro)</w:t>
            </w:r>
          </w:p>
        </w:tc>
      </w:tr>
      <w:tr w:rsidR="003013DE" w:rsidRPr="003013DE" w14:paraId="21A09772" w14:textId="77777777" w:rsidTr="0030351C">
        <w:tc>
          <w:tcPr>
            <w:tcW w:w="4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7EB5A8" w14:textId="026B9676" w:rsidR="00B61F4E" w:rsidRPr="003013DE" w:rsidRDefault="00F74243" w:rsidP="0026136F">
            <w:pPr>
              <w:widowControl w:val="0"/>
              <w:suppressAutoHyphens/>
              <w:autoSpaceDN w:val="0"/>
              <w:spacing w:after="0" w:line="36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lastRenderedPageBreak/>
              <w:t>Publicaciones disponibles en</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inglés ,español</w:t>
            </w:r>
            <w:r w:rsidRPr="003013DE">
              <w:rPr>
                <w:rFonts w:ascii="Times New Roman" w:hAnsi="Times New Roman" w:cs="Times New Roman"/>
                <w:sz w:val="24"/>
                <w:szCs w:val="24"/>
              </w:rPr>
              <w:t xml:space="preserve"> y portugués </w:t>
            </w:r>
            <w:r w:rsidRPr="003013DE">
              <w:rPr>
                <w:rFonts w:ascii="Times New Roman" w:eastAsia="Times New Roman" w:hAnsi="Times New Roman" w:cs="Times New Roman"/>
                <w:sz w:val="24"/>
                <w:szCs w:val="24"/>
              </w:rPr>
              <w:t>con texto completo accesible</w:t>
            </w:r>
          </w:p>
        </w:tc>
        <w:tc>
          <w:tcPr>
            <w:tcW w:w="44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0BCC12" w14:textId="46D7C338" w:rsidR="00B61F4E" w:rsidRPr="003013DE" w:rsidRDefault="00426AEC" w:rsidP="0026136F">
            <w:pPr>
              <w:widowControl w:val="0"/>
              <w:suppressAutoHyphens/>
              <w:autoSpaceDN w:val="0"/>
              <w:spacing w:line="36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t>Publicaciones con solo resumen disponible o sin acceso a datos metodológicos y resultados completos</w:t>
            </w:r>
          </w:p>
        </w:tc>
      </w:tr>
      <w:tr w:rsidR="003013DE" w:rsidRPr="003013DE" w14:paraId="32DEAB7F" w14:textId="77777777" w:rsidTr="0030351C">
        <w:tc>
          <w:tcPr>
            <w:tcW w:w="4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0E020C" w14:textId="1975CA82" w:rsidR="00F74243" w:rsidRPr="003013DE" w:rsidRDefault="001D7450" w:rsidP="0026136F">
            <w:pPr>
              <w:pStyle w:val="Piedepgina"/>
              <w:spacing w:line="360" w:lineRule="auto"/>
              <w:jc w:val="both"/>
            </w:pPr>
            <w:r w:rsidRPr="003013DE">
              <w:t xml:space="preserve"> </w:t>
            </w:r>
          </w:p>
          <w:p w14:paraId="047DE2C0" w14:textId="77777777" w:rsidR="00B61F4E" w:rsidRPr="003013DE" w:rsidRDefault="00B61F4E" w:rsidP="0026136F">
            <w:pPr>
              <w:widowControl w:val="0"/>
              <w:suppressAutoHyphens/>
              <w:autoSpaceDN w:val="0"/>
              <w:spacing w:line="360" w:lineRule="auto"/>
              <w:jc w:val="both"/>
              <w:textAlignment w:val="baseline"/>
              <w:rPr>
                <w:rFonts w:ascii="Times New Roman" w:eastAsia="Times New Roman" w:hAnsi="Times New Roman" w:cs="Times New Roman"/>
                <w:sz w:val="24"/>
                <w:szCs w:val="24"/>
                <w:lang w:eastAsia="es-CR"/>
              </w:rPr>
            </w:pPr>
          </w:p>
        </w:tc>
        <w:tc>
          <w:tcPr>
            <w:tcW w:w="44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707FAB" w14:textId="41CFD119" w:rsidR="00B61F4E" w:rsidRPr="003013DE" w:rsidRDefault="00426AEC" w:rsidP="0026136F">
            <w:pPr>
              <w:widowControl w:val="0"/>
              <w:suppressAutoHyphens/>
              <w:autoSpaceDN w:val="0"/>
              <w:spacing w:line="360" w:lineRule="auto"/>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rPr>
              <w:t>Investigaciones realizadas exclusivamente en</w:t>
            </w:r>
            <w:r w:rsidRPr="003013DE">
              <w:rPr>
                <w:rStyle w:val="PiedepginaCar"/>
                <w:rFonts w:ascii="Times New Roman" w:eastAsia="Times New Roman" w:hAnsi="Times New Roman" w:cs="Times New Roman"/>
                <w:sz w:val="24"/>
                <w:szCs w:val="24"/>
              </w:rPr>
              <w:t> </w:t>
            </w:r>
            <w:r w:rsidRPr="003013DE">
              <w:rPr>
                <w:rStyle w:val="max-w-15ch"/>
                <w:rFonts w:ascii="Times New Roman" w:eastAsia="Times New Roman" w:hAnsi="Times New Roman" w:cs="Times New Roman"/>
                <w:sz w:val="24"/>
                <w:szCs w:val="24"/>
              </w:rPr>
              <w:t>neonatos o niños</w:t>
            </w:r>
            <w:r w:rsidRPr="003013DE">
              <w:rPr>
                <w:rFonts w:ascii="Times New Roman" w:eastAsia="Times New Roman" w:hAnsi="Times New Roman" w:cs="Times New Roman"/>
                <w:b/>
                <w:bCs/>
                <w:sz w:val="24"/>
                <w:szCs w:val="24"/>
              </w:rPr>
              <w:t xml:space="preserve">, </w:t>
            </w:r>
            <w:r w:rsidRPr="003013DE">
              <w:rPr>
                <w:rFonts w:ascii="Times New Roman" w:eastAsia="Times New Roman" w:hAnsi="Times New Roman" w:cs="Times New Roman"/>
                <w:sz w:val="24"/>
                <w:szCs w:val="24"/>
              </w:rPr>
              <w:t>o en modelos animales sin correlato fisiopatológico con enfermedades neurodegenerativas humanas</w:t>
            </w:r>
          </w:p>
        </w:tc>
      </w:tr>
    </w:tbl>
    <w:p w14:paraId="23660207" w14:textId="77777777" w:rsidR="00B61F4E" w:rsidRPr="003013DE" w:rsidRDefault="00B61F4E" w:rsidP="00B61F4E">
      <w:pPr>
        <w:suppressAutoHyphens/>
        <w:autoSpaceDN w:val="0"/>
        <w:spacing w:line="480" w:lineRule="auto"/>
        <w:ind w:firstLine="709"/>
        <w:textAlignment w:val="baseline"/>
        <w:rPr>
          <w:rFonts w:ascii="Times New Roman" w:eastAsia="Times New Roman" w:hAnsi="Times New Roman" w:cs="Times New Roman"/>
          <w:sz w:val="24"/>
          <w:szCs w:val="24"/>
          <w:lang w:eastAsia="es-CR"/>
        </w:rPr>
      </w:pPr>
      <w:r w:rsidRPr="003013DE">
        <w:rPr>
          <w:rFonts w:ascii="Times New Roman" w:eastAsia="Times New Roman" w:hAnsi="Times New Roman" w:cs="Times New Roman"/>
          <w:sz w:val="24"/>
          <w:szCs w:val="24"/>
          <w:lang w:eastAsia="es-CR"/>
        </w:rPr>
        <w:t>Fuente: Elaboración propia, 2024</w:t>
      </w:r>
    </w:p>
    <w:p w14:paraId="75C16929" w14:textId="77777777" w:rsidR="00114A84" w:rsidRPr="003013DE" w:rsidRDefault="00114A84" w:rsidP="00FA61E0">
      <w:pPr>
        <w:rPr>
          <w:rFonts w:ascii="Times New Roman" w:eastAsia="Times New Roman" w:hAnsi="Times New Roman" w:cs="Times New Roman"/>
          <w:sz w:val="24"/>
          <w:szCs w:val="24"/>
          <w:lang w:eastAsia="es-CR"/>
        </w:rPr>
      </w:pPr>
    </w:p>
    <w:p w14:paraId="5269B356" w14:textId="77777777" w:rsidR="00114A84" w:rsidRPr="003013DE" w:rsidRDefault="00114A84" w:rsidP="00FA61E0">
      <w:pPr>
        <w:rPr>
          <w:rFonts w:ascii="Times New Roman" w:eastAsia="Times New Roman" w:hAnsi="Times New Roman" w:cs="Times New Roman"/>
          <w:sz w:val="24"/>
          <w:szCs w:val="24"/>
          <w:lang w:eastAsia="es-CR"/>
        </w:rPr>
      </w:pPr>
    </w:p>
    <w:p w14:paraId="0F181CC3" w14:textId="77777777" w:rsidR="00114A84" w:rsidRPr="003013DE" w:rsidRDefault="00114A84" w:rsidP="00FA61E0">
      <w:pPr>
        <w:rPr>
          <w:rFonts w:ascii="Times New Roman" w:eastAsia="Times New Roman" w:hAnsi="Times New Roman" w:cs="Times New Roman"/>
          <w:sz w:val="24"/>
          <w:szCs w:val="24"/>
          <w:lang w:eastAsia="es-CR"/>
        </w:rPr>
      </w:pPr>
    </w:p>
    <w:p w14:paraId="3FC72CA3" w14:textId="77777777" w:rsidR="00114A84" w:rsidRPr="003013DE" w:rsidRDefault="00114A84" w:rsidP="00FA61E0">
      <w:pPr>
        <w:rPr>
          <w:rFonts w:ascii="Times New Roman" w:eastAsia="Times New Roman" w:hAnsi="Times New Roman" w:cs="Times New Roman"/>
          <w:sz w:val="24"/>
          <w:szCs w:val="24"/>
          <w:lang w:eastAsia="es-CR"/>
        </w:rPr>
      </w:pPr>
    </w:p>
    <w:p w14:paraId="7326A013" w14:textId="77777777" w:rsidR="00114A84" w:rsidRPr="003013DE" w:rsidRDefault="00114A84" w:rsidP="00FA61E0">
      <w:pPr>
        <w:rPr>
          <w:rFonts w:ascii="Times New Roman" w:eastAsia="Times New Roman" w:hAnsi="Times New Roman" w:cs="Times New Roman"/>
          <w:sz w:val="24"/>
          <w:szCs w:val="24"/>
          <w:lang w:eastAsia="es-CR"/>
        </w:rPr>
      </w:pPr>
    </w:p>
    <w:p w14:paraId="15238D83" w14:textId="77777777" w:rsidR="00114A84" w:rsidRPr="003013DE" w:rsidRDefault="00114A84" w:rsidP="00FA61E0">
      <w:pPr>
        <w:rPr>
          <w:rFonts w:ascii="Times New Roman" w:eastAsia="Times New Roman" w:hAnsi="Times New Roman" w:cs="Times New Roman"/>
          <w:sz w:val="24"/>
          <w:szCs w:val="24"/>
          <w:lang w:eastAsia="es-CR"/>
        </w:rPr>
      </w:pPr>
    </w:p>
    <w:p w14:paraId="4FF5B6C0" w14:textId="77777777" w:rsidR="00114A84" w:rsidRPr="003013DE" w:rsidRDefault="00114A84" w:rsidP="00FA61E0">
      <w:pPr>
        <w:rPr>
          <w:rFonts w:ascii="Times New Roman" w:eastAsia="Times New Roman" w:hAnsi="Times New Roman" w:cs="Times New Roman"/>
          <w:sz w:val="24"/>
          <w:szCs w:val="24"/>
          <w:lang w:eastAsia="es-CR"/>
        </w:rPr>
      </w:pPr>
    </w:p>
    <w:p w14:paraId="1F1AC78F" w14:textId="77777777" w:rsidR="00114A84" w:rsidRPr="003013DE" w:rsidRDefault="00114A84" w:rsidP="00FA61E0">
      <w:pPr>
        <w:rPr>
          <w:rFonts w:ascii="Times New Roman" w:eastAsia="Times New Roman" w:hAnsi="Times New Roman" w:cs="Times New Roman"/>
          <w:sz w:val="24"/>
          <w:szCs w:val="24"/>
          <w:lang w:eastAsia="es-CR"/>
        </w:rPr>
      </w:pPr>
    </w:p>
    <w:p w14:paraId="313AC4B1" w14:textId="77777777" w:rsidR="00114A84" w:rsidRPr="003013DE" w:rsidRDefault="00114A84" w:rsidP="00FA61E0">
      <w:pPr>
        <w:rPr>
          <w:rFonts w:ascii="Times New Roman" w:eastAsia="Times New Roman" w:hAnsi="Times New Roman" w:cs="Times New Roman"/>
          <w:sz w:val="24"/>
          <w:szCs w:val="24"/>
          <w:lang w:eastAsia="es-CR"/>
        </w:rPr>
      </w:pPr>
    </w:p>
    <w:p w14:paraId="65D509CB" w14:textId="5391E028" w:rsidR="00B61F4E" w:rsidRPr="003013DE" w:rsidRDefault="00B61F4E" w:rsidP="001D7450">
      <w:pPr>
        <w:rPr>
          <w:rFonts w:ascii="Times New Roman" w:eastAsiaTheme="majorEastAsia" w:hAnsi="Times New Roman" w:cs="Times New Roman"/>
          <w:bCs/>
          <w:iCs/>
          <w:sz w:val="24"/>
          <w:szCs w:val="24"/>
        </w:rPr>
      </w:pPr>
    </w:p>
    <w:p w14:paraId="1E514B41" w14:textId="2FC0C598" w:rsidR="00FA61E0" w:rsidRPr="003013DE" w:rsidRDefault="00FA61E0" w:rsidP="001D7450">
      <w:pPr>
        <w:rPr>
          <w:rFonts w:ascii="Times New Roman" w:eastAsiaTheme="majorEastAsia" w:hAnsi="Times New Roman" w:cs="Times New Roman"/>
          <w:bCs/>
          <w:iCs/>
          <w:sz w:val="24"/>
          <w:szCs w:val="24"/>
        </w:rPr>
      </w:pPr>
    </w:p>
    <w:p w14:paraId="11692EEA" w14:textId="0B39808E" w:rsidR="00FA61E0" w:rsidRPr="003013DE" w:rsidRDefault="00FA61E0" w:rsidP="001D7450">
      <w:pPr>
        <w:rPr>
          <w:rFonts w:ascii="Times New Roman" w:eastAsiaTheme="majorEastAsia" w:hAnsi="Times New Roman" w:cs="Times New Roman"/>
          <w:bCs/>
          <w:iCs/>
          <w:sz w:val="24"/>
          <w:szCs w:val="24"/>
        </w:rPr>
      </w:pPr>
    </w:p>
    <w:p w14:paraId="38058E3E" w14:textId="40845000" w:rsidR="00FA61E0" w:rsidRPr="003013DE" w:rsidRDefault="00FA61E0" w:rsidP="001D7450">
      <w:pPr>
        <w:rPr>
          <w:rFonts w:ascii="Times New Roman" w:eastAsiaTheme="majorEastAsia" w:hAnsi="Times New Roman" w:cs="Times New Roman"/>
          <w:bCs/>
          <w:iCs/>
          <w:sz w:val="24"/>
          <w:szCs w:val="24"/>
        </w:rPr>
      </w:pPr>
    </w:p>
    <w:p w14:paraId="2EFDEE30" w14:textId="5EA76746" w:rsidR="001D7450" w:rsidRPr="003013DE" w:rsidRDefault="001D7450" w:rsidP="001D7450">
      <w:pPr>
        <w:rPr>
          <w:rFonts w:ascii="Times New Roman" w:eastAsiaTheme="majorEastAsia" w:hAnsi="Times New Roman" w:cs="Times New Roman"/>
          <w:bCs/>
          <w:iCs/>
          <w:sz w:val="24"/>
          <w:szCs w:val="24"/>
        </w:rPr>
      </w:pPr>
    </w:p>
    <w:p w14:paraId="5731DF57" w14:textId="2F51F090" w:rsidR="001D7450" w:rsidRPr="003013DE" w:rsidRDefault="001D7450" w:rsidP="001D7450">
      <w:pPr>
        <w:rPr>
          <w:rFonts w:ascii="Times New Roman" w:eastAsiaTheme="majorEastAsia" w:hAnsi="Times New Roman" w:cs="Times New Roman"/>
          <w:bCs/>
          <w:iCs/>
          <w:sz w:val="24"/>
          <w:szCs w:val="24"/>
        </w:rPr>
      </w:pPr>
    </w:p>
    <w:p w14:paraId="758683A0" w14:textId="44747D9F" w:rsidR="001D7450" w:rsidRPr="003013DE" w:rsidRDefault="001D7450" w:rsidP="001D7450">
      <w:pPr>
        <w:rPr>
          <w:rFonts w:ascii="Times New Roman" w:eastAsiaTheme="majorEastAsia" w:hAnsi="Times New Roman" w:cs="Times New Roman"/>
          <w:bCs/>
          <w:iCs/>
          <w:sz w:val="24"/>
          <w:szCs w:val="24"/>
        </w:rPr>
      </w:pPr>
    </w:p>
    <w:p w14:paraId="44041733" w14:textId="77777777" w:rsidR="001D7450" w:rsidRPr="003013DE" w:rsidRDefault="001D7450" w:rsidP="001D7450">
      <w:pPr>
        <w:rPr>
          <w:rFonts w:ascii="Times New Roman" w:eastAsiaTheme="majorEastAsia" w:hAnsi="Times New Roman" w:cs="Times New Roman"/>
          <w:bCs/>
          <w:iCs/>
          <w:sz w:val="24"/>
          <w:szCs w:val="24"/>
        </w:rPr>
      </w:pPr>
    </w:p>
    <w:p w14:paraId="4556E072" w14:textId="30ED56D2" w:rsidR="00FA61E0" w:rsidRPr="003013DE" w:rsidRDefault="00FA61E0" w:rsidP="001D7450">
      <w:pPr>
        <w:rPr>
          <w:rFonts w:ascii="Times New Roman" w:eastAsiaTheme="majorEastAsia" w:hAnsi="Times New Roman" w:cs="Times New Roman"/>
          <w:bCs/>
          <w:iCs/>
          <w:sz w:val="24"/>
          <w:szCs w:val="24"/>
        </w:rPr>
      </w:pPr>
    </w:p>
    <w:p w14:paraId="50463F04" w14:textId="222E3227" w:rsidR="00B61F4E" w:rsidRPr="003013DE" w:rsidRDefault="00434D9B" w:rsidP="001D7450">
      <w:pPr>
        <w:pStyle w:val="Ttulo1"/>
        <w:rPr>
          <w:rFonts w:cs="Times New Roman"/>
          <w:b w:val="0"/>
          <w:bCs/>
          <w:color w:val="auto"/>
          <w:szCs w:val="24"/>
          <w:lang w:val="es-ES"/>
        </w:rPr>
      </w:pPr>
      <w:bookmarkStart w:id="108" w:name="_Toc223177190"/>
      <w:r w:rsidRPr="003013DE">
        <w:rPr>
          <w:rFonts w:cs="Times New Roman"/>
          <w:bCs/>
          <w:color w:val="auto"/>
          <w:szCs w:val="24"/>
          <w:lang w:val="es-ES"/>
        </w:rPr>
        <w:t>3.6 Algoritmo</w:t>
      </w:r>
      <w:r w:rsidR="00B36250" w:rsidRPr="003013DE">
        <w:rPr>
          <w:rFonts w:cs="Times New Roman"/>
          <w:bCs/>
          <w:color w:val="auto"/>
          <w:szCs w:val="24"/>
          <w:lang w:val="es-ES"/>
        </w:rPr>
        <w:t xml:space="preserve"> para el proceso de selección de información</w:t>
      </w:r>
      <w:bookmarkEnd w:id="108"/>
      <w:r w:rsidR="00B36250" w:rsidRPr="003013DE">
        <w:rPr>
          <w:rFonts w:cs="Times New Roman"/>
          <w:bCs/>
          <w:color w:val="auto"/>
          <w:szCs w:val="24"/>
          <w:lang w:val="es-ES"/>
        </w:rPr>
        <w:t xml:space="preserve"> </w:t>
      </w:r>
    </w:p>
    <w:p w14:paraId="0ED4AC55" w14:textId="77777777" w:rsidR="00B36250" w:rsidRPr="003013DE" w:rsidRDefault="00B36250" w:rsidP="001D7450">
      <w:pPr>
        <w:rPr>
          <w:rFonts w:ascii="Times New Roman" w:eastAsiaTheme="majorEastAsia" w:hAnsi="Times New Roman" w:cs="Times New Roman"/>
          <w:sz w:val="24"/>
          <w:szCs w:val="24"/>
          <w:lang w:val="es-ES" w:eastAsia="es-ES"/>
        </w:rPr>
      </w:pPr>
    </w:p>
    <w:p w14:paraId="0FE3E9A9"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3587B563" w14:textId="77777777"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4384" behindDoc="0" locked="0" layoutInCell="1" allowOverlap="1" wp14:anchorId="719C0DFC" wp14:editId="0F8AA3AC">
                <wp:simplePos x="0" y="0"/>
                <wp:positionH relativeFrom="column">
                  <wp:posOffset>3333750</wp:posOffset>
                </wp:positionH>
                <wp:positionV relativeFrom="paragraph">
                  <wp:posOffset>185420</wp:posOffset>
                </wp:positionV>
                <wp:extent cx="1828800" cy="733425"/>
                <wp:effectExtent l="0" t="0" r="12700" b="15875"/>
                <wp:wrapNone/>
                <wp:docPr id="158280741" name="Cuadro de texto 3"/>
                <wp:cNvGraphicFramePr/>
                <a:graphic xmlns:a="http://schemas.openxmlformats.org/drawingml/2006/main">
                  <a:graphicData uri="http://schemas.microsoft.com/office/word/2010/wordprocessingShape">
                    <wps:wsp>
                      <wps:cNvSpPr txBox="1"/>
                      <wps:spPr>
                        <a:xfrm>
                          <a:off x="0" y="0"/>
                          <a:ext cx="1828800" cy="733425"/>
                        </a:xfrm>
                        <a:prstGeom prst="rect">
                          <a:avLst/>
                        </a:prstGeom>
                        <a:solidFill>
                          <a:schemeClr val="lt1"/>
                        </a:solidFill>
                        <a:ln w="6350">
                          <a:solidFill>
                            <a:prstClr val="black"/>
                          </a:solidFill>
                        </a:ln>
                      </wps:spPr>
                      <wps:txbx>
                        <w:txbxContent>
                          <w:p w14:paraId="6376ADF8" w14:textId="5084C75B" w:rsidR="00B36250" w:rsidRPr="00D803A9" w:rsidRDefault="00B36250">
                            <w:pPr>
                              <w:rPr>
                                <w:lang w:val="es-419"/>
                              </w:rPr>
                            </w:pPr>
                            <w:r>
                              <w:rPr>
                                <w:lang w:val="es-419"/>
                              </w:rPr>
                              <w:t xml:space="preserve">Número adicional identificado en otras fuentes </w:t>
                            </w:r>
                            <w:r w:rsidR="00026B44">
                              <w:rPr>
                                <w:lang w:val="es-419"/>
                              </w:rPr>
                              <w:t>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19C0DFC" id="_x0000_t202" coordsize="21600,21600" o:spt="202" path="m,l,21600r21600,l21600,xe">
                <v:stroke joinstyle="miter"/>
                <v:path gradientshapeok="t" o:connecttype="rect"/>
              </v:shapetype>
              <v:shape id="Cuadro de texto 3" o:spid="_x0000_s1026" type="#_x0000_t202" style="position:absolute;margin-left:262.5pt;margin-top:14.6pt;width:2in;height:57.7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Qan3NwIAAHwEAAAOAAAAZHJzL2Uyb0RvYy54bWysVE1v2zAMvQ/YfxB0X+x8tZkRp8hSZBhQ&#13;&#10;tAXSoWdFlmJjsqhJSuzs14+SnY92Ow27yJRIPZGPj57ftbUiB2FdBTqnw0FKidAcikrvcvr9Zf1p&#13;&#10;RonzTBdMgRY5PQpH7xYfP8wbk4kRlKAKYQmCaJc1Jqel9yZLEsdLUTM3ACM0OiXYmnnc2l1SWNYg&#13;&#10;eq2SUZreJA3Ywljgwjk8ve+cdBHxpRTcP0nphCcqp5ibj6uN6zasyWLOsp1lpqx4nwb7hyxqVml8&#13;&#10;9Ax1zzwje1v9AVVX3IID6Qcc6gSkrLiINWA1w/RdNZuSGRFrQXKcOdPk/h8sfzxszLMlvv0CLTYw&#13;&#10;ENIYlzk8DPW00tbhi5kS9COFxzNtovWEh0uz0WyWoouj73Y8noymASa53DbW+a8CahKMnFpsS2SL&#13;&#10;HR6c70JPIeExB6oq1pVScROkIFbKkgPDJiofc0TwN1FKkyanN+NpGoHf+AL0+f5WMf6jT+8qCvGU&#13;&#10;xpwvtQfLt9u2J2QLxRF5stBJyBm+rhD3gTn/zCxqBuvHOfBPuEgFmAz0FiUl2F9/Ow/x2Er0UtKg&#13;&#10;BnPqfu6ZFZSobxqb/Hk4mQTRxs1kejvCjb32bK89el+vABka4sQZHs0Q79XJlBbqVxyXZXgVXUxz&#13;&#10;fDun/mSufDcZOG5cLJcxCGVqmH/QG8MDdOhI4POlfWXW9P30qIRHOKmVZe/a2sWGmxqWew+yij0P&#13;&#10;BHes9ryjxKNq+nEMM3S9j1GXn8biNwAAAP//AwBQSwMEFAAGAAgAAAAhAFRHEZbjAAAADwEAAA8A&#13;&#10;AABkcnMvZG93bnJldi54bWxMj09PwzAMxe9IfIfISNxYurJB1zWd+DN24cRAnL0mSyKapEqyrnx7&#13;&#10;zAkulmw/P79fs5lcz0YVkw1ewHxWAFO+C9J6LeDj/eWmApYyeol98ErAt0qwaS8vGqxlOPs3Ne6z&#13;&#10;ZmTiU40CTM5DzXnqjHKYZmFQnnbHEB1maqPmMuKZzF3Py6K44w6tpw8GB/VkVPe1PzkB20e90l2F&#13;&#10;0Wwrae04fR5f9U6I66vpeU3lYQ0sqyn/XcAvA+WHloIdwsnLxHoBy3JJQFlAuSqBkaCa39LgQMrF&#13;&#10;4h542/D/HO0PAAAA//8DAFBLAQItABQABgAIAAAAIQC2gziS/gAAAOEBAAATAAAAAAAAAAAAAAAA&#13;&#10;AAAAAABbQ29udGVudF9UeXBlc10ueG1sUEsBAi0AFAAGAAgAAAAhADj9If/WAAAAlAEAAAsAAAAA&#13;&#10;AAAAAAAAAAAALwEAAF9yZWxzLy5yZWxzUEsBAi0AFAAGAAgAAAAhAGNBqfc3AgAAfAQAAA4AAAAA&#13;&#10;AAAAAAAAAAAALgIAAGRycy9lMm9Eb2MueG1sUEsBAi0AFAAGAAgAAAAhAFRHEZbjAAAADwEAAA8A&#13;&#10;AAAAAAAAAAAAAAAAkQQAAGRycy9kb3ducmV2LnhtbFBLBQYAAAAABAAEAPMAAAChBQAAAAA=&#13;&#10;" fillcolor="white [3201]" strokeweight=".5pt">
                <v:textbox>
                  <w:txbxContent>
                    <w:p w14:paraId="6376ADF8" w14:textId="5084C75B" w:rsidR="00B36250" w:rsidRPr="00D803A9" w:rsidRDefault="00B36250">
                      <w:pPr>
                        <w:rPr>
                          <w:lang w:val="es-419"/>
                        </w:rPr>
                      </w:pPr>
                      <w:r>
                        <w:rPr>
                          <w:lang w:val="es-419"/>
                        </w:rPr>
                        <w:t xml:space="preserve">Número adicional identificado en otras fuentes </w:t>
                      </w:r>
                      <w:r w:rsidR="00026B44">
                        <w:rPr>
                          <w:lang w:val="es-419"/>
                        </w:rPr>
                        <w:t>45</w:t>
                      </w:r>
                    </w:p>
                  </w:txbxContent>
                </v:textbox>
              </v:shape>
            </w:pict>
          </mc:Fallback>
        </mc:AlternateContent>
      </w: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3360" behindDoc="0" locked="0" layoutInCell="1" allowOverlap="1" wp14:anchorId="1D56156B" wp14:editId="30B4C3FA">
                <wp:simplePos x="0" y="0"/>
                <wp:positionH relativeFrom="column">
                  <wp:posOffset>883920</wp:posOffset>
                </wp:positionH>
                <wp:positionV relativeFrom="paragraph">
                  <wp:posOffset>185420</wp:posOffset>
                </wp:positionV>
                <wp:extent cx="1828800" cy="733425"/>
                <wp:effectExtent l="0" t="0" r="12700" b="15875"/>
                <wp:wrapNone/>
                <wp:docPr id="1393123412" name="Cuadro de texto 2"/>
                <wp:cNvGraphicFramePr/>
                <a:graphic xmlns:a="http://schemas.openxmlformats.org/drawingml/2006/main">
                  <a:graphicData uri="http://schemas.microsoft.com/office/word/2010/wordprocessingShape">
                    <wps:wsp>
                      <wps:cNvSpPr txBox="1"/>
                      <wps:spPr>
                        <a:xfrm>
                          <a:off x="0" y="0"/>
                          <a:ext cx="1828800" cy="733425"/>
                        </a:xfrm>
                        <a:prstGeom prst="rect">
                          <a:avLst/>
                        </a:prstGeom>
                        <a:solidFill>
                          <a:schemeClr val="lt1"/>
                        </a:solidFill>
                        <a:ln w="6350">
                          <a:solidFill>
                            <a:prstClr val="black"/>
                          </a:solidFill>
                        </a:ln>
                      </wps:spPr>
                      <wps:txbx>
                        <w:txbxContent>
                          <w:p w14:paraId="350D27F5" w14:textId="6533CE9F" w:rsidR="00B36250" w:rsidRPr="00C46FF5" w:rsidRDefault="00B36250">
                            <w:pPr>
                              <w:rPr>
                                <w:lang w:val="es-419"/>
                              </w:rPr>
                            </w:pPr>
                            <w:r>
                              <w:rPr>
                                <w:lang w:val="es-419"/>
                              </w:rPr>
                              <w:t xml:space="preserve">Número de artículos identificados en las bases de datos </w:t>
                            </w:r>
                            <w:r w:rsidR="00026B44">
                              <w:rPr>
                                <w:lang w:val="es-419"/>
                              </w:rPr>
                              <w:t>439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56156B" id="Cuadro de texto 2" o:spid="_x0000_s1027" type="#_x0000_t202" style="position:absolute;margin-left:69.6pt;margin-top:14.6pt;width:2in;height:57.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AGyuOQIAAIMEAAAOAAAAZHJzL2Uyb0RvYy54bWysVE1v2zAMvQ/YfxB0X+x8tZkRp8hSZBhQ&#13;&#10;tAXSoWdFlmJjsqhJSuzs14+SnY92Ow27yJRIPZGPj57ftbUiB2FdBTqnw0FKidAcikrvcvr9Zf1p&#13;&#10;RonzTBdMgRY5PQpH7xYfP8wbk4kRlKAKYQmCaJc1Jqel9yZLEsdLUTM3ACM0OiXYmnnc2l1SWNYg&#13;&#10;eq2SUZreJA3Ywljgwjk8ve+cdBHxpRTcP0nphCcqp5ibj6uN6zasyWLOsp1lpqx4nwb7hyxqVml8&#13;&#10;9Ax1zzwje1v9AVVX3IID6Qcc6gSkrLiINWA1w/RdNZuSGRFrQXKcOdPk/h8sfzxszLMlvv0CLTYw&#13;&#10;ENIYlzk8DPW00tbhi5kS9COFxzNtovWEh0uz0WyWoouj73Y8noymASa53DbW+a8CahKMnFpsS2SL&#13;&#10;HR6c70JPIeExB6oq1pVScROkIFbKkgPDJiofc0TwN1FKkyanN+NpGoHf+AL0+f5WMf6jT+8qCvGU&#13;&#10;xpwvtQfLt9uWVMUVL1sojkiXhU5JzvB1hfAPzPlnZlE6SAOOg3/CRSrAnKC3KCnB/vrbeYjHjqKX&#13;&#10;kgalmFP3c8+soER909jrz8PJJGg3bibT2xFu7LVne+3R+3oFSNQQB8/waIZ4r06mtFC/4tQsw6vo&#13;&#10;Yprj2zn1J3PluwHBqeNiuYxBqFbD/IPeGB6gQ2MCrS/tK7Omb6tHQTzCSbQse9fdLjbc1LDce5BV&#13;&#10;bH3guWO1px+VHsXTT2UYpet9jLr8Oxa/AQAA//8DAFBLAwQUAAYACAAAACEAsEkPpd8AAAAPAQAA&#13;&#10;DwAAAGRycy9kb3ducmV2LnhtbExPy07DMBC8I/EP1iJxow4homkap+JRuHCiIM5uvLUtYjuy3TT8&#13;&#10;PdsTXPahmZ2daTezG9iEMdngBdwuCmDo+6Cs1wI+P15uamApS6/kEDwK+MEEm+7yopWNCif/jtMu&#13;&#10;a0YiPjVSgMl5bDhPvUEn0yKM6Ak7hOhkpjVqrqI8kbgbeFkU99xJ6+mDkSM+Gey/d0cnYPuoV7qv&#13;&#10;ZTTbWlk7zV+HN/0qxPXV/Lym8rAGlnHOfxdwzkD+oSNj+3D0KrGB9rtVSVQB5bkToSqXNOwJqaol&#13;&#10;8K7l/3N0vwAAAP//AwBQSwECLQAUAAYACAAAACEAtoM4kv4AAADhAQAAEwAAAAAAAAAAAAAAAAAA&#13;&#10;AAAAW0NvbnRlbnRfVHlwZXNdLnhtbFBLAQItABQABgAIAAAAIQA4/SH/1gAAAJQBAAALAAAAAAAA&#13;&#10;AAAAAAAAAC8BAABfcmVscy8ucmVsc1BLAQItABQABgAIAAAAIQC2AGyuOQIAAIMEAAAOAAAAAAAA&#13;&#10;AAAAAAAAAC4CAABkcnMvZTJvRG9jLnhtbFBLAQItABQABgAIAAAAIQCwSQ+l3wAAAA8BAAAPAAAA&#13;&#10;AAAAAAAAAAAAAJMEAABkcnMvZG93bnJldi54bWxQSwUGAAAAAAQABADzAAAAnwUAAAAA&#13;&#10;" fillcolor="white [3201]" strokeweight=".5pt">
                <v:textbox>
                  <w:txbxContent>
                    <w:p w14:paraId="350D27F5" w14:textId="6533CE9F" w:rsidR="00B36250" w:rsidRPr="00C46FF5" w:rsidRDefault="00B36250">
                      <w:pPr>
                        <w:rPr>
                          <w:lang w:val="es-419"/>
                        </w:rPr>
                      </w:pPr>
                      <w:r>
                        <w:rPr>
                          <w:lang w:val="es-419"/>
                        </w:rPr>
                        <w:t xml:space="preserve">Número de artículos identificados en las bases de datos </w:t>
                      </w:r>
                      <w:r w:rsidR="00026B44">
                        <w:rPr>
                          <w:lang w:val="es-419"/>
                        </w:rPr>
                        <w:t>439</w:t>
                      </w:r>
                    </w:p>
                  </w:txbxContent>
                </v:textbox>
              </v:shape>
            </w:pict>
          </mc:Fallback>
        </mc:AlternateContent>
      </w:r>
    </w:p>
    <w:p w14:paraId="32466B43" w14:textId="77777777"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59264" behindDoc="0" locked="0" layoutInCell="1" allowOverlap="1" wp14:anchorId="7D3026F8" wp14:editId="3B53FB38">
                <wp:simplePos x="0" y="0"/>
                <wp:positionH relativeFrom="column">
                  <wp:posOffset>-413385</wp:posOffset>
                </wp:positionH>
                <wp:positionV relativeFrom="paragraph">
                  <wp:posOffset>167005</wp:posOffset>
                </wp:positionV>
                <wp:extent cx="1016000" cy="472440"/>
                <wp:effectExtent l="5080" t="0" r="17780" b="17780"/>
                <wp:wrapNone/>
                <wp:docPr id="1260304789" name="Cuadro de texto 1"/>
                <wp:cNvGraphicFramePr/>
                <a:graphic xmlns:a="http://schemas.openxmlformats.org/drawingml/2006/main">
                  <a:graphicData uri="http://schemas.microsoft.com/office/word/2010/wordprocessingShape">
                    <wps:wsp>
                      <wps:cNvSpPr txBox="1"/>
                      <wps:spPr>
                        <a:xfrm rot="16200000">
                          <a:off x="0" y="0"/>
                          <a:ext cx="1016000" cy="472440"/>
                        </a:xfrm>
                        <a:prstGeom prst="rect">
                          <a:avLst/>
                        </a:prstGeom>
                        <a:solidFill>
                          <a:schemeClr val="bg1"/>
                        </a:solidFill>
                        <a:ln w="6350">
                          <a:solidFill>
                            <a:schemeClr val="tx1"/>
                          </a:solidFill>
                        </a:ln>
                      </wps:spPr>
                      <wps:txbx>
                        <w:txbxContent>
                          <w:p w14:paraId="4D8AA0B1" w14:textId="77777777" w:rsidR="00B36250" w:rsidRPr="00E90127" w:rsidRDefault="00B36250">
                            <w:pPr>
                              <w:rPr>
                                <w:lang w:val="es-419"/>
                              </w:rPr>
                            </w:pPr>
                            <w:r>
                              <w:rPr>
                                <w:lang w:val="es-419"/>
                              </w:rPr>
                              <w:t xml:space="preserve">Identificación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3026F8" id="Cuadro de texto 1" o:spid="_x0000_s1028" type="#_x0000_t202" style="position:absolute;margin-left:-32.55pt;margin-top:13.15pt;width:80pt;height:37.2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KCmJPQIAAJIEAAAOAAAAZHJzL2Uyb0RvYy54bWysVE1v2zAMvQ/YfxB0XxxnaboZcYosRYYB&#13;&#10;QVsgHXpWZCkWIIuapMTOfv0oOV/tehqWg0CKz0/kI5npXddoshfOKzAlzQdDSoThUCmzLenP5+Wn&#13;&#10;L5T4wEzFNBhR0oPw9G728cO0tYUYQQ26Eo4gifFFa0tah2CLLPO8Fg3zA7DCYFCCa1hA122zyrEW&#13;&#10;2RudjYbDSdaCq6wDLrzH2/s+SGeJX0rBw6OUXgSiS4q5hXS6dG7imc2mrNg6ZmvFj2mwf8iiYcrg&#13;&#10;o2eqexYY2Tn1F1WjuAMPMgw4NBlIqbhINWA1+fBNNeuaWZFqQXG8Pcvk/x8tf9iv7ZMjofsGHTYw&#13;&#10;CtJaX3i8jPV00jXEAeqWT1Bv/KUyMXGCcFT0cFZRdIHwyDHMJxFHOMbGt6PxOMmc9WSR1Dofvgto&#13;&#10;SDRK6rBLiZXtVz5gAgg9QSLcg1bVUmmdnDgZYqEd2TPs6WabUsYvXqG0IW1JJ59v+nRfxdJsXRhC&#13;&#10;9w4D8mmDiVykiFboNh1RVUlHJ5k2UB1QvSQQVuwtXyqsacV8eGIOJwkvcTvCIx5SA+YER4uSGtzv&#13;&#10;9+4jHhuMUUpanMyS+l875gQl+ofB1n/No6IkJGd8cztCx11HNtcRs2sWgELlKbtkRnzQJ1M6aF5w&#13;&#10;iebxVQwxw/HtkoaTuQj9vuAScjGfJxAOr2VhZdaWR+pTU5+7F+bssa0BB+IBTjPMijfd7bHxSwPz&#13;&#10;XQCpUuujzr2qR/lx8NNEHJc0bta1n1CXv5LZHwAAAP//AwBQSwMEFAAGAAgAAAAhAHvywE3mAAAA&#13;&#10;DwEAAA8AAABkcnMvZG93bnJldi54bWxMj0FPwzAMhe9I/IfISNy2tN06ja7phEAFDpMQ26Rds9a0&#13;&#10;FY3TNelW9usxJ7hYtvz5+b10PZpWnLF3jSUF4TQAgVTYsqFKwX6XT5YgnNdU6tYSKvhGB+vs9ibV&#13;&#10;SWkv9IHnra8Ei5BLtILa+y6R0hU1Gu2mtkPi3aftjfY89pUse31hcdPKKAgW0uiG+EOtO3yqsfja&#13;&#10;DkbBy+vhUJ2u9vTWzfE9f9gN+XWDSt3fjc8rLo8rEB5H/3cBvxnYP2Rs7GgHKp1oFUyiaMYoN+Ei&#13;&#10;BsFEHIUgjkzOZzHILJX/c2Q/AAAA//8DAFBLAQItABQABgAIAAAAIQC2gziS/gAAAOEBAAATAAAA&#13;&#10;AAAAAAAAAAAAAAAAAABbQ29udGVudF9UeXBlc10ueG1sUEsBAi0AFAAGAAgAAAAhADj9If/WAAAA&#13;&#10;lAEAAAsAAAAAAAAAAAAAAAAALwEAAF9yZWxzLy5yZWxzUEsBAi0AFAAGAAgAAAAhALcoKYk9AgAA&#13;&#10;kgQAAA4AAAAAAAAAAAAAAAAALgIAAGRycy9lMm9Eb2MueG1sUEsBAi0AFAAGAAgAAAAhAHvywE3m&#13;&#10;AAAADwEAAA8AAAAAAAAAAAAAAAAAlwQAAGRycy9kb3ducmV2LnhtbFBLBQYAAAAABAAEAPMAAACq&#13;&#10;BQAAAAA=&#13;&#10;" fillcolor="white [3212]" strokecolor="black [3213]" strokeweight=".5pt">
                <v:textbox>
                  <w:txbxContent>
                    <w:p w14:paraId="4D8AA0B1" w14:textId="77777777" w:rsidR="00B36250" w:rsidRPr="00E90127" w:rsidRDefault="00B36250">
                      <w:pPr>
                        <w:rPr>
                          <w:lang w:val="es-419"/>
                        </w:rPr>
                      </w:pPr>
                      <w:r>
                        <w:rPr>
                          <w:lang w:val="es-419"/>
                        </w:rPr>
                        <w:t xml:space="preserve">Identificación </w:t>
                      </w:r>
                    </w:p>
                  </w:txbxContent>
                </v:textbox>
              </v:shape>
            </w:pict>
          </mc:Fallback>
        </mc:AlternateContent>
      </w:r>
    </w:p>
    <w:p w14:paraId="528DAA14"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1FC298B6"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0769309F"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697B0792"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2FDE54A4" w14:textId="77777777"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5408" behindDoc="0" locked="0" layoutInCell="1" allowOverlap="1" wp14:anchorId="1FD9683D" wp14:editId="10E0BE89">
                <wp:simplePos x="0" y="0"/>
                <wp:positionH relativeFrom="column">
                  <wp:posOffset>2226945</wp:posOffset>
                </wp:positionH>
                <wp:positionV relativeFrom="paragraph">
                  <wp:posOffset>144145</wp:posOffset>
                </wp:positionV>
                <wp:extent cx="1579880" cy="756285"/>
                <wp:effectExtent l="0" t="0" r="7620" b="18415"/>
                <wp:wrapNone/>
                <wp:docPr id="455209198" name="Cuadro de texto 4"/>
                <wp:cNvGraphicFramePr/>
                <a:graphic xmlns:a="http://schemas.openxmlformats.org/drawingml/2006/main">
                  <a:graphicData uri="http://schemas.microsoft.com/office/word/2010/wordprocessingShape">
                    <wps:wsp>
                      <wps:cNvSpPr txBox="1"/>
                      <wps:spPr>
                        <a:xfrm>
                          <a:off x="0" y="0"/>
                          <a:ext cx="1579880" cy="756285"/>
                        </a:xfrm>
                        <a:prstGeom prst="rect">
                          <a:avLst/>
                        </a:prstGeom>
                        <a:solidFill>
                          <a:schemeClr val="lt1"/>
                        </a:solidFill>
                        <a:ln w="6350">
                          <a:solidFill>
                            <a:prstClr val="black"/>
                          </a:solidFill>
                        </a:ln>
                      </wps:spPr>
                      <wps:txbx>
                        <w:txbxContent>
                          <w:p w14:paraId="6C2FE462" w14:textId="7D8D9A65" w:rsidR="00B36250" w:rsidRPr="00D803A9" w:rsidRDefault="00B36250">
                            <w:pPr>
                              <w:rPr>
                                <w:lang w:val="es-419"/>
                              </w:rPr>
                            </w:pPr>
                            <w:r>
                              <w:rPr>
                                <w:lang w:val="es-419"/>
                              </w:rPr>
                              <w:t xml:space="preserve"> Número de artículos descartados por línea temporal </w:t>
                            </w:r>
                            <w:r w:rsidR="00026B44">
                              <w:rPr>
                                <w:lang w:val="es-419"/>
                              </w:rPr>
                              <w:t>173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D9683D" id="Cuadro de texto 4" o:spid="_x0000_s1029" type="#_x0000_t202" style="position:absolute;margin-left:175.35pt;margin-top:11.35pt;width:124.4pt;height:59.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T7WpPAIAAIMEAAAOAAAAZHJzL2Uyb0RvYy54bWysVN9v2jAQfp+0/8Hy+whQoDQiVIyKaRJq&#13;&#10;K9Gqz8axSTTH59mGhP31OzvhR7s9TXtxzr7z57vvvsvsvqkUOQjrStAZHfT6lAjNIS/1LqOvL6sv&#13;&#10;U0qcZzpnCrTI6FE4ej///GlWm1QMoQCVC0sQRLu0NhktvDdpkjheiIq5Hhih0SnBVszj1u6S3LIa&#13;&#10;0SuVDPv9SVKDzY0FLpzD04fWSecRX0rB/ZOUTniiMoq5+bjauG7DmsxnLN1ZZoqSd2mwf8iiYqXG&#13;&#10;R89QD8wzsrflH1BVyS04kL7HoUpAypKLWANWM+h/qGZTMCNiLUiOM2ea3P+D5Y+HjXm2xDdfocEG&#13;&#10;BkJq41KHh6GeRtoqfDFTgn6k8HimTTSe8HBpfHs3naKLo+92PBlOxwEmudw21vlvAioSjIxabEtk&#13;&#10;ix3Wzrehp5DwmANV5qtSqbgJUhBLZcmBYROVjzki+LsopUmd0cnNuB+B3/kC9Pn+VjH+o0vvKgrx&#13;&#10;lMacL7UHyzfbhpR5Rm9OvGwhPyJdFlolOcNXJcKvmfPPzKJ0kAYcB/+Ei1SAOUFnUVKA/fW38xCP&#13;&#10;HUUvJTVKMaPu555ZQYn6rrHXd4PRKGg3bkbj2yFu7LVne+3R+2oJSNQAB8/waIZ4r06mtFC94dQs&#13;&#10;wqvoYprj2xn1J3Pp2wHBqeNisYhBqFbD/FpvDA/QoTGB1pfmjVnTtdWjIB7hJFqWfuhuGxtualjs&#13;&#10;Pcgytj7w3LLa0Y9Kj+LppjKM0vU+Rl3+HfPfAAAA//8DAFBLAwQUAAYACAAAACEAAa2KMOIAAAAP&#13;&#10;AQAADwAAAGRycy9kb3ducmV2LnhtbEyPT0/DMAzF70h8h8hI3Fi6QqHtmk78GVw4MaadvSZLI5qk&#13;&#10;SrKufHvMCS62LP/8/F6znu3AJhWi8U7AcpEBU67z0jgtYPf5elMCiwmdxME7JeBbRVi3lxcN1tKf&#13;&#10;3YeatkkzEnGxRgF9SmPNeex6ZTEu/Kgc7Y4+WEw0Bs1lwDOJ24HnWXbPLRpHH3oc1XOvuq/tyQrY&#13;&#10;POlKdyWGflNKY6Z5f3zXb0JcX80vKyqPK2BJzenvAn4zkH9oydjBn5yMbBBwW2QPhArIc+oEFFVV&#13;&#10;ADsQebcsgbcN/5+j/QEAAP//AwBQSwECLQAUAAYACAAAACEAtoM4kv4AAADhAQAAEwAAAAAAAAAA&#13;&#10;AAAAAAAAAAAAW0NvbnRlbnRfVHlwZXNdLnhtbFBLAQItABQABgAIAAAAIQA4/SH/1gAAAJQBAAAL&#13;&#10;AAAAAAAAAAAAAAAAAC8BAABfcmVscy8ucmVsc1BLAQItABQABgAIAAAAIQBuT7WpPAIAAIMEAAAO&#13;&#10;AAAAAAAAAAAAAAAAAC4CAABkcnMvZTJvRG9jLnhtbFBLAQItABQABgAIAAAAIQABrYow4gAAAA8B&#13;&#10;AAAPAAAAAAAAAAAAAAAAAJYEAABkcnMvZG93bnJldi54bWxQSwUGAAAAAAQABADzAAAApQUAAAAA&#13;&#10;" fillcolor="white [3201]" strokeweight=".5pt">
                <v:textbox>
                  <w:txbxContent>
                    <w:p w14:paraId="6C2FE462" w14:textId="7D8D9A65" w:rsidR="00B36250" w:rsidRPr="00D803A9" w:rsidRDefault="00B36250">
                      <w:pPr>
                        <w:rPr>
                          <w:lang w:val="es-419"/>
                        </w:rPr>
                      </w:pPr>
                      <w:r>
                        <w:rPr>
                          <w:lang w:val="es-419"/>
                        </w:rPr>
                        <w:t xml:space="preserve"> Número de artículos descartados por línea temporal </w:t>
                      </w:r>
                      <w:r w:rsidR="00026B44">
                        <w:rPr>
                          <w:lang w:val="es-419"/>
                        </w:rPr>
                        <w:t>173</w:t>
                      </w:r>
                    </w:p>
                  </w:txbxContent>
                </v:textbox>
              </v:shape>
            </w:pict>
          </mc:Fallback>
        </mc:AlternateContent>
      </w:r>
    </w:p>
    <w:p w14:paraId="7F61E0EE" w14:textId="77777777"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0288" behindDoc="0" locked="0" layoutInCell="1" allowOverlap="1" wp14:anchorId="5010ACFE" wp14:editId="2AC96836">
                <wp:simplePos x="0" y="0"/>
                <wp:positionH relativeFrom="column">
                  <wp:posOffset>-410526</wp:posOffset>
                </wp:positionH>
                <wp:positionV relativeFrom="paragraph">
                  <wp:posOffset>191135</wp:posOffset>
                </wp:positionV>
                <wp:extent cx="1016000" cy="471805"/>
                <wp:effectExtent l="5397" t="0" r="18098" b="18097"/>
                <wp:wrapNone/>
                <wp:docPr id="285544582" name="Cuadro de texto 1"/>
                <wp:cNvGraphicFramePr/>
                <a:graphic xmlns:a="http://schemas.openxmlformats.org/drawingml/2006/main">
                  <a:graphicData uri="http://schemas.microsoft.com/office/word/2010/wordprocessingShape">
                    <wps:wsp>
                      <wps:cNvSpPr txBox="1"/>
                      <wps:spPr>
                        <a:xfrm rot="16200000">
                          <a:off x="0" y="0"/>
                          <a:ext cx="1016000" cy="471805"/>
                        </a:xfrm>
                        <a:prstGeom prst="rect">
                          <a:avLst/>
                        </a:prstGeom>
                        <a:solidFill>
                          <a:schemeClr val="lt1"/>
                        </a:solidFill>
                        <a:ln w="6350">
                          <a:solidFill>
                            <a:prstClr val="black"/>
                          </a:solidFill>
                        </a:ln>
                      </wps:spPr>
                      <wps:txbx>
                        <w:txbxContent>
                          <w:p w14:paraId="779B592B" w14:textId="77777777" w:rsidR="00B36250" w:rsidRPr="00E90127" w:rsidRDefault="00B36250">
                            <w:pPr>
                              <w:rPr>
                                <w:lang w:val="es-419"/>
                              </w:rPr>
                            </w:pPr>
                            <w:r>
                              <w:rPr>
                                <w:lang w:val="es-419"/>
                              </w:rPr>
                              <w:t xml:space="preserve">Recopilación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10ACFE" id="_x0000_s1030" type="#_x0000_t202" style="position:absolute;margin-left:-32.3pt;margin-top:15.05pt;width:80pt;height:37.1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ttkZPwIAAJIEAAAOAAAAZHJzL2Uyb0RvYy54bWysVFFv2jAQfp+0/2D5fSRhQNuIUDEqpklV&#13;&#10;W4lOfTaOTaI5Ps82JOzX7+wESrs9TePBuvN9+Xz33R3z265R5CCsq0EXNBullAjNoaz1rqDfn9ef&#13;&#10;rilxnumSKdCioEfh6O3i44d5a3IxhgpUKSxBEu3y1hS08t7kSeJ4JRrmRmCExqAE2zCPrt0lpWUt&#13;&#10;sjcqGafpLGnBlsYCF87h7V0fpIvIL6Xg/lFKJzxRBcXcfDxtPLfhTBZzlu8sM1XNhzTYP2TRsFrj&#13;&#10;o2eqO+YZ2dv6D6qm5hYcSD/i0CQgZc1FrAGrydJ31WwqZkSsBcVx5iyT+3+0/OGwMU+W+O4LdNjA&#13;&#10;IEhrXO7wMtTTSdsQC6hbNkO98RfLxMQJwlHR41lF0XnCA0eazQKOcIxNrrLrdBpYk54skBrr/FcB&#13;&#10;DQlGQS12KbKyw73zPfQECXAHqi7XtVLRCZMhVsqSA8OeKh9TRvI3KKVJW9DZ52mf7ptYoD5/v1WM&#13;&#10;/xjSu0Ahn9KY86sUwfLdtiN1iVWdZNpCeUT1okBYsTN8XSP9PXP+iVmcJLzE7fCPeEgFmBMMFiUV&#13;&#10;2F9/uw94bDBGKWlxMgvqfu6ZFZSobxpbf5NNJkjrozOZXo3RsZeR7WVE75sVoFBZzC6aAe/VyZQW&#13;&#10;mhdcomV4FUNMc3y7oP5krny/L7iEXCyXEYTDa5i/1xvDA/Wpqc/dC7NmaKvHgXiA0wyz/F13e2z4&#13;&#10;UsNy70HWsfVB517VQX4c/Dg8w5KGzbr0I+r1r2TxGwAA//8DAFBLAwQUAAYACAAAACEAEE6wHeUA&#13;&#10;AAAPAQAADwAAAGRycy9kb3ducmV2LnhtbEyPT0/DMAzF70h8h8hI3La0hW2oazrxV5MmhMRA4po2&#13;&#10;pik0TmmyrePTY05wsWz5+fn3itXoOrHHIbSeFKTTBARS7U1LjYLXl4fJFYgQNRndeUIFRwywKk9P&#13;&#10;Cp0bf6Bn3G9jI9iEQq4V2Bj7XMpQW3Q6TH2PxLt3PzgdeRwaaQZ9YHPXySxJ5tLplviD1T3eWqw/&#13;&#10;tzun4HvcfMxvKlrftxi/7Nv66egeUanzs/FuyeV6CSLiGP8u4DcD80PJYJXfkQmiUzDJUuaP3KTZ&#13;&#10;AgQrZtkMRMXKy8UFyLKQ/3OUPwAAAP//AwBQSwECLQAUAAYACAAAACEAtoM4kv4AAADhAQAAEwAA&#13;&#10;AAAAAAAAAAAAAAAAAAAAW0NvbnRlbnRfVHlwZXNdLnhtbFBLAQItABQABgAIAAAAIQA4/SH/1gAA&#13;&#10;AJQBAAALAAAAAAAAAAAAAAAAAC8BAABfcmVscy8ucmVsc1BLAQItABQABgAIAAAAIQBOttkZPwIA&#13;&#10;AJIEAAAOAAAAAAAAAAAAAAAAAC4CAABkcnMvZTJvRG9jLnhtbFBLAQItABQABgAIAAAAIQAQTrAd&#13;&#10;5QAAAA8BAAAPAAAAAAAAAAAAAAAAAJkEAABkcnMvZG93bnJldi54bWxQSwUGAAAAAAQABADzAAAA&#13;&#10;qwUAAAAA&#13;&#10;" fillcolor="white [3201]" strokeweight=".5pt">
                <v:textbox>
                  <w:txbxContent>
                    <w:p w14:paraId="779B592B" w14:textId="77777777" w:rsidR="00B36250" w:rsidRPr="00E90127" w:rsidRDefault="00B36250">
                      <w:pPr>
                        <w:rPr>
                          <w:lang w:val="es-419"/>
                        </w:rPr>
                      </w:pPr>
                      <w:r>
                        <w:rPr>
                          <w:lang w:val="es-419"/>
                        </w:rPr>
                        <w:t xml:space="preserve">Recopilación </w:t>
                      </w:r>
                    </w:p>
                  </w:txbxContent>
                </v:textbox>
              </v:shape>
            </w:pict>
          </mc:Fallback>
        </mc:AlternateContent>
      </w:r>
    </w:p>
    <w:p w14:paraId="68FF03FE"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1A4918F1"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014E9E16"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40135EE0" w14:textId="77777777"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6432" behindDoc="0" locked="0" layoutInCell="1" allowOverlap="1" wp14:anchorId="0BAFB497" wp14:editId="3C691DE3">
                <wp:simplePos x="0" y="0"/>
                <wp:positionH relativeFrom="column">
                  <wp:posOffset>2226945</wp:posOffset>
                </wp:positionH>
                <wp:positionV relativeFrom="paragraph">
                  <wp:posOffset>88900</wp:posOffset>
                </wp:positionV>
                <wp:extent cx="1579880" cy="609600"/>
                <wp:effectExtent l="0" t="0" r="7620" b="12700"/>
                <wp:wrapNone/>
                <wp:docPr id="1826322739" name="Cuadro de texto 5"/>
                <wp:cNvGraphicFramePr/>
                <a:graphic xmlns:a="http://schemas.openxmlformats.org/drawingml/2006/main">
                  <a:graphicData uri="http://schemas.microsoft.com/office/word/2010/wordprocessingShape">
                    <wps:wsp>
                      <wps:cNvSpPr txBox="1"/>
                      <wps:spPr>
                        <a:xfrm>
                          <a:off x="0" y="0"/>
                          <a:ext cx="1579880" cy="609600"/>
                        </a:xfrm>
                        <a:prstGeom prst="rect">
                          <a:avLst/>
                        </a:prstGeom>
                        <a:solidFill>
                          <a:schemeClr val="lt1"/>
                        </a:solidFill>
                        <a:ln w="6350">
                          <a:solidFill>
                            <a:prstClr val="black"/>
                          </a:solidFill>
                        </a:ln>
                      </wps:spPr>
                      <wps:txbx>
                        <w:txbxContent>
                          <w:p w14:paraId="536B8CF0" w14:textId="77777777" w:rsidR="00B36250" w:rsidRDefault="00B36250">
                            <w:pPr>
                              <w:rPr>
                                <w:lang w:val="es-419"/>
                              </w:rPr>
                            </w:pPr>
                            <w:r>
                              <w:rPr>
                                <w:lang w:val="es-419"/>
                              </w:rPr>
                              <w:t xml:space="preserve">Artículos recopilados </w:t>
                            </w:r>
                          </w:p>
                          <w:p w14:paraId="600AB1E5" w14:textId="4532AD27" w:rsidR="00B36250" w:rsidRPr="00301327" w:rsidRDefault="00026B44">
                            <w:pPr>
                              <w:rPr>
                                <w:lang w:val="es-419"/>
                              </w:rPr>
                            </w:pPr>
                            <w:r>
                              <w:rPr>
                                <w:lang w:val="es-419"/>
                              </w:rPr>
                              <w:t>126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AFB497" id="Cuadro de texto 5" o:spid="_x0000_s1031" type="#_x0000_t202" style="position:absolute;margin-left:175.35pt;margin-top:7pt;width:124.4pt;height:4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ii29OgIAAIMEAAAOAAAAZHJzL2Uyb0RvYy54bWysVE2PGjEMvVfqf4hyLzNQYAExrCgrqkqr&#13;&#10;3ZXYas8hkzBRM3GaBGbor68Tvrc9Vb1k7Nh5tp/tmd63tSY74bwCU9BuJ6dEGA6lMpuCfn9dfhpR&#13;&#10;4gMzJdNgREH3wtP72ccP08ZORA8q0KVwBEGMnzS2oFUIdpJlnleiZr4DVhg0SnA1C6i6TVY61iB6&#13;&#10;rbNeng+zBlxpHXDhPd4+HIx0lvClFDw8S+lFILqgmFtIp0vnOp7ZbMomG8dspfgxDfYPWdRMGQx6&#13;&#10;hnpggZGtU39A1Yo78CBDh0OdgZSKi1QDVtPN31WzqpgVqRYkx9szTf7/wfKn3cq+OBLaL9BiAyMh&#13;&#10;jfUTj5exnla6On4xU4J2pHB/pk20gfD4aHA3Ho3QxNE2zMfDPPGaXV5b58NXATWJQkEdtiWxxXaP&#13;&#10;PmBEdD25xGAetCqXSuukxFEQC+3IjmETdUg54osbL21Ig8E/D/IEfGOL0Of3a834j1jlLQJq2uDl&#13;&#10;pfYohXbdElUWdHDiZQ3lHulycJgkb/lSIfwj8+GFORwdpAHXITzjITVgTnCUKKnA/frbffTHjqKV&#13;&#10;kgZHsaD+55Y5QYn+ZrDX426/H2c3Kf3BXQ8Vd21ZX1vMtl4AEtXFxbM8idE/6JMoHdRvuDXzGBVN&#13;&#10;zHCMXdBwEhfhsCC4dVzM58kJp9Wy8GhWlkfo2JhI62v7xpw9tjXgQDzBaWjZ5F13D77xpYH5NoBU&#13;&#10;qfWR5wOrR/px0lN3jlsZV+laT16Xf8fsNwAAAP//AwBQSwMEFAAGAAgAAAAhAA15Fq3gAAAADwEA&#13;&#10;AA8AAABkcnMvZG93bnJldi54bWxMT8tOwzAQvCPxD9YicaN2gUCSxql4lF44URDnbew6FrEd2W4a&#13;&#10;/p7lBJeVdmd2Hs16dgObdEw2eAnLhQCmfReU9UbCx/vLVQksZfQKh+C1hG+dYN2enzVYq3Dyb3ra&#13;&#10;ZcNIxKcaJfQ5jzXnqeu1w7QIo/aEHUJ0mGmNhquIJxJ3A78W4o47tJ4cehz1U6+7r93RSdg8msp0&#13;&#10;JcZ+Uyprp/nz8Gq2Ul5ezM8rGg8rYFnP+e8DfjtQfmgp2D4cvUpskHBTiHuiEnBLxYhQVFUBbE+H&#13;&#10;pRDA24b/79H+AAAA//8DAFBLAQItABQABgAIAAAAIQC2gziS/gAAAOEBAAATAAAAAAAAAAAAAAAA&#13;&#10;AAAAAABbQ29udGVudF9UeXBlc10ueG1sUEsBAi0AFAAGAAgAAAAhADj9If/WAAAAlAEAAAsAAAAA&#13;&#10;AAAAAAAAAAAALwEAAF9yZWxzLy5yZWxzUEsBAi0AFAAGAAgAAAAhAOCKLb06AgAAgwQAAA4AAAAA&#13;&#10;AAAAAAAAAAAALgIAAGRycy9lMm9Eb2MueG1sUEsBAi0AFAAGAAgAAAAhAA15Fq3gAAAADwEAAA8A&#13;&#10;AAAAAAAAAAAAAAAAlAQAAGRycy9kb3ducmV2LnhtbFBLBQYAAAAABAAEAPMAAAChBQAAAAA=&#13;&#10;" fillcolor="white [3201]" strokeweight=".5pt">
                <v:textbox>
                  <w:txbxContent>
                    <w:p w14:paraId="536B8CF0" w14:textId="77777777" w:rsidR="00B36250" w:rsidRDefault="00B36250">
                      <w:pPr>
                        <w:rPr>
                          <w:lang w:val="es-419"/>
                        </w:rPr>
                      </w:pPr>
                      <w:r>
                        <w:rPr>
                          <w:lang w:val="es-419"/>
                        </w:rPr>
                        <w:t xml:space="preserve">Artículos recopilados </w:t>
                      </w:r>
                    </w:p>
                    <w:p w14:paraId="600AB1E5" w14:textId="4532AD27" w:rsidR="00B36250" w:rsidRPr="00301327" w:rsidRDefault="00026B44">
                      <w:pPr>
                        <w:rPr>
                          <w:lang w:val="es-419"/>
                        </w:rPr>
                      </w:pPr>
                      <w:r>
                        <w:rPr>
                          <w:lang w:val="es-419"/>
                        </w:rPr>
                        <w:t>126</w:t>
                      </w:r>
                    </w:p>
                  </w:txbxContent>
                </v:textbox>
              </v:shape>
            </w:pict>
          </mc:Fallback>
        </mc:AlternateContent>
      </w:r>
    </w:p>
    <w:p w14:paraId="422B89A6"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1B4C752E" w14:textId="77777777"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1312" behindDoc="0" locked="0" layoutInCell="1" allowOverlap="1" wp14:anchorId="6622A7D8" wp14:editId="5A8DE5B4">
                <wp:simplePos x="0" y="0"/>
                <wp:positionH relativeFrom="column">
                  <wp:posOffset>-412114</wp:posOffset>
                </wp:positionH>
                <wp:positionV relativeFrom="paragraph">
                  <wp:posOffset>131061</wp:posOffset>
                </wp:positionV>
                <wp:extent cx="1016000" cy="471805"/>
                <wp:effectExtent l="5397" t="0" r="18098" b="18097"/>
                <wp:wrapNone/>
                <wp:docPr id="418400052" name="Cuadro de texto 1"/>
                <wp:cNvGraphicFramePr/>
                <a:graphic xmlns:a="http://schemas.openxmlformats.org/drawingml/2006/main">
                  <a:graphicData uri="http://schemas.microsoft.com/office/word/2010/wordprocessingShape">
                    <wps:wsp>
                      <wps:cNvSpPr txBox="1"/>
                      <wps:spPr>
                        <a:xfrm rot="16200000">
                          <a:off x="0" y="0"/>
                          <a:ext cx="1016000" cy="471805"/>
                        </a:xfrm>
                        <a:prstGeom prst="rect">
                          <a:avLst/>
                        </a:prstGeom>
                        <a:solidFill>
                          <a:schemeClr val="lt1"/>
                        </a:solidFill>
                        <a:ln w="6350">
                          <a:solidFill>
                            <a:prstClr val="black"/>
                          </a:solidFill>
                        </a:ln>
                      </wps:spPr>
                      <wps:txbx>
                        <w:txbxContent>
                          <w:p w14:paraId="5B0E7543" w14:textId="77777777" w:rsidR="00B36250" w:rsidRPr="00E90127" w:rsidRDefault="00B36250">
                            <w:pPr>
                              <w:rPr>
                                <w:lang w:val="es-419"/>
                              </w:rPr>
                            </w:pPr>
                            <w:r>
                              <w:rPr>
                                <w:lang w:val="es-419"/>
                              </w:rPr>
                              <w:t>Elegibles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2A7D8" id="_x0000_s1032" type="#_x0000_t202" style="position:absolute;margin-left:-32.45pt;margin-top:10.3pt;width:80pt;height:37.15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1DdoPwIAAJIEAAAOAAAAZHJzL2Uyb0RvYy54bWysVFFv2jAQfp+0/2D5fSRhQNuIUDEqpklV&#13;&#10;W4lOfTaOTaI5Ps82JOzX7+wESrs9TePBuvN9+Xz33R3z265R5CCsq0EXNBullAjNoaz1rqDfn9ef&#13;&#10;rilxnumSKdCioEfh6O3i44d5a3IxhgpUKSxBEu3y1hS08t7kSeJ4JRrmRmCExqAE2zCPrt0lpWUt&#13;&#10;sjcqGafpLGnBlsYCF87h7V0fpIvIL6Xg/lFKJzxRBcXcfDxtPLfhTBZzlu8sM1XNhzTYP2TRsFrj&#13;&#10;o2eqO+YZ2dv6D6qm5hYcSD/i0CQgZc1FrAGrydJ31WwqZkSsBcVx5iyT+3+0/OGwMU+W+O4LdNjA&#13;&#10;IEhrXO7wMtTTSdsQC6hbNkO98RfLxMQJwlHR41lF0XnCA0eazQKOcIxNrrLrdBpYk54skBrr/FcB&#13;&#10;DQlGQS12KbKyw73zPfQECXAHqi7XtVLRCZMhVsqSA8OeKh9TRvI3KKVJW9DZ52mf7ptYoD5/v1WM&#13;&#10;/xjSu0Ahn9KY86sUwfLdtiN1icQnmbZQHlG9KBBW7Axf10h/z5x/YhYnCS9xO/wjHlIB5gSDRUkF&#13;&#10;9tff7gMeG4xRSlqczIK6n3tmBSXqm8bW32STCdL66EymV2N07GVkexnR+2YFKFQWs4tmwHt1MqWF&#13;&#10;5gWXaBlexRDTHN8uqD+ZK9/vCy4hF8tlBOHwGubv9cbwQH1q6nP3wqwZ2upxIB7gNMMsf9fdHhu+&#13;&#10;1LDce5B1bH3QuVd1kB8HPw7PsKRhsy79iHr9K1n8BgAA//8DAFBLAwQUAAYACAAAACEADPlLBeEA&#13;&#10;AAAPAQAADwAAAGRycy9kb3ducmV2LnhtbExPyU7DMBC9I/EP1iBxa50aUao0TsWqSgghUZC4OvEQ&#13;&#10;B+JxiN025esZuMBlFs2btxSr0Xdih0NsA2mYTTMQSHWwLTUaXp7vJgsQMRmypguEGg4YYVUeHxUm&#13;&#10;t2FPT7jbpEYwCcXcaHAp9bmUsXboTZyGHolvb2HwJvE6NNIOZs/kvpMqy+bSm5ZYwZkerx3WH5ut&#13;&#10;1/A13r/Prypa37aYPt3r+vHgH1Dr05PxZsnlcgki4Zj+PuAnA/uHko1VYUs2ik7DRKkZQ38HBYIR&#13;&#10;54p7xciziwXIspD/c5TfAAAA//8DAFBLAQItABQABgAIAAAAIQC2gziS/gAAAOEBAAATAAAAAAAA&#13;&#10;AAAAAAAAAAAAAABbQ29udGVudF9UeXBlc10ueG1sUEsBAi0AFAAGAAgAAAAhADj9If/WAAAAlAEA&#13;&#10;AAsAAAAAAAAAAAAAAAAALwEAAF9yZWxzLy5yZWxzUEsBAi0AFAAGAAgAAAAhAPHUN2g/AgAAkgQA&#13;&#10;AA4AAAAAAAAAAAAAAAAALgIAAGRycy9lMm9Eb2MueG1sUEsBAi0AFAAGAAgAAAAhAAz5SwXhAAAA&#13;&#10;DwEAAA8AAAAAAAAAAAAAAAAAmQQAAGRycy9kb3ducmV2LnhtbFBLBQYAAAAABAAEAPMAAACnBQAA&#13;&#10;AAA=&#13;&#10;" fillcolor="white [3201]" strokeweight=".5pt">
                <v:textbox>
                  <w:txbxContent>
                    <w:p w14:paraId="5B0E7543" w14:textId="77777777" w:rsidR="00B36250" w:rsidRPr="00E90127" w:rsidRDefault="00B36250">
                      <w:pPr>
                        <w:rPr>
                          <w:lang w:val="es-419"/>
                        </w:rPr>
                      </w:pPr>
                      <w:r>
                        <w:rPr>
                          <w:lang w:val="es-419"/>
                        </w:rPr>
                        <w:t>Elegibles</w:t>
                      </w:r>
                    </w:p>
                  </w:txbxContent>
                </v:textbox>
              </v:shape>
            </w:pict>
          </mc:Fallback>
        </mc:AlternateContent>
      </w:r>
    </w:p>
    <w:p w14:paraId="5F383150"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09C8AE78" w14:textId="77777777"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7456" behindDoc="0" locked="0" layoutInCell="1" allowOverlap="1" wp14:anchorId="10B21B3C" wp14:editId="203FAE84">
                <wp:simplePos x="0" y="0"/>
                <wp:positionH relativeFrom="column">
                  <wp:posOffset>2226945</wp:posOffset>
                </wp:positionH>
                <wp:positionV relativeFrom="paragraph">
                  <wp:posOffset>53975</wp:posOffset>
                </wp:positionV>
                <wp:extent cx="1579880" cy="620395"/>
                <wp:effectExtent l="0" t="0" r="7620" b="14605"/>
                <wp:wrapNone/>
                <wp:docPr id="1237363867" name="Cuadro de texto 6"/>
                <wp:cNvGraphicFramePr/>
                <a:graphic xmlns:a="http://schemas.openxmlformats.org/drawingml/2006/main">
                  <a:graphicData uri="http://schemas.microsoft.com/office/word/2010/wordprocessingShape">
                    <wps:wsp>
                      <wps:cNvSpPr txBox="1"/>
                      <wps:spPr>
                        <a:xfrm>
                          <a:off x="0" y="0"/>
                          <a:ext cx="1579880" cy="620395"/>
                        </a:xfrm>
                        <a:prstGeom prst="rect">
                          <a:avLst/>
                        </a:prstGeom>
                        <a:solidFill>
                          <a:schemeClr val="lt1"/>
                        </a:solidFill>
                        <a:ln w="6350">
                          <a:solidFill>
                            <a:prstClr val="black"/>
                          </a:solidFill>
                        </a:ln>
                      </wps:spPr>
                      <wps:txbx>
                        <w:txbxContent>
                          <w:p w14:paraId="4FE01166" w14:textId="3134718A" w:rsidR="00B36250" w:rsidRPr="00B930CF" w:rsidRDefault="00B36250">
                            <w:pPr>
                              <w:rPr>
                                <w:lang w:val="es-419"/>
                              </w:rPr>
                            </w:pPr>
                            <w:r>
                              <w:rPr>
                                <w:lang w:val="es-419"/>
                              </w:rPr>
                              <w:t xml:space="preserve">Artículos de texto completo elegibles </w:t>
                            </w:r>
                            <w:r w:rsidR="00C22FE7">
                              <w:rPr>
                                <w:lang w:val="es-419"/>
                              </w:rPr>
                              <w:t>59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B21B3C" id="Cuadro de texto 6" o:spid="_x0000_s1033" type="#_x0000_t202" style="position:absolute;margin-left:175.35pt;margin-top:4.25pt;width:124.4pt;height:48.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22AZOwIAAIMEAAAOAAAAZHJzL2Uyb0RvYy54bWysVE1v2zAMvQ/YfxB0X+ykSZsEcYosRYYB&#13;&#10;QVsgLXpWZCk2JouapMTOfv0o2flot9Owi0yK1CP5SHp231SKHIR1JeiM9nspJUJzyEu9y+jry+rL&#13;&#10;mBLnmc6ZAi0yehSO3s8/f5rVZioGUIDKhSUIot20NhktvDfTJHG8EBVzPTBCo1GCrZhH1e6S3LIa&#13;&#10;0SuVDNL0NqnB5sYCF87h7UNrpPOIL6Xg/klKJzxRGcXcfDxtPLfhTOYzNt1ZZoqSd2mwf8iiYqXG&#13;&#10;oGeoB+YZ2dvyD6iq5BYcSN/jUCUgZclFrAGr6acfqtkUzIhYC5LjzJkm9/9g+eNhY54t8c1XaLCB&#13;&#10;gZDauKnDy1BPI20VvpgpQTtSeDzTJhpPeHg0upuMx2jiaLsdpDeTUYBJLq+Ndf6bgIoEIaMW2xLZ&#13;&#10;Yoe1863rySUEc6DKfFUqFZUwCmKpLDkwbKLyMUcEf+elNKkx+M0ojcDvbAH6/H6rGP/RpXflhXhK&#13;&#10;Y86X2oPkm21DyjyjdydetpAfkS4L7SQ5w1clwq+Z88/M4uggDbgO/gkPqQBzgk6ipAD762/3wR87&#13;&#10;ilZKahzFjLqfe2YFJeq7xl5P+sNhmN2oDEd3A1TstWV7bdH7aglIVB8Xz/AoBn+vTqK0UL3h1ixC&#13;&#10;VDQxzTF2Rv1JXPp2QXDruFgsohNOq2F+rTeGB+jQmEDrS/PGrOna6nEgHuE0tGz6obutb3ipYbH3&#13;&#10;IMvY+sBzy2pHP056HJ5uK8MqXevR6/LvmP8GAAD//wMAUEsDBBQABgAIAAAAIQDrOxQX4AAAAA4B&#13;&#10;AAAPAAAAZHJzL2Rvd25yZXYueG1sTE/LTsMwELwj8Q/WInGjNkUpSRqn4lG49ERBnLexa1vEdhS7&#13;&#10;afh7lhNcVrua2Xk0m9n3bNJjcjFIuF0IYDp0UblgJHy8v9yUwFLGoLCPQUv41gk27eVFg7WK5/Cm&#13;&#10;p302jERCqlGCzXmoOU+d1R7TIg46EHaMo8dM52i4GvFM4r7nSyFW3KML5GBx0E9Wd1/7k5ewfTSV&#13;&#10;6Uoc7bZUzk3z53FnXqW8vpqf1zQe1sCynvPfB/x2oPzQUrBDPAWVWC/hrhD3RJVQFsAIL6qKlgMR&#13;&#10;xWoJvG34/xrtDwAAAP//AwBQSwECLQAUAAYACAAAACEAtoM4kv4AAADhAQAAEwAAAAAAAAAAAAAA&#13;&#10;AAAAAAAAW0NvbnRlbnRfVHlwZXNdLnhtbFBLAQItABQABgAIAAAAIQA4/SH/1gAAAJQBAAALAAAA&#13;&#10;AAAAAAAAAAAAAC8BAABfcmVscy8ucmVsc1BLAQItABQABgAIAAAAIQCV22AZOwIAAIMEAAAOAAAA&#13;&#10;AAAAAAAAAAAAAC4CAABkcnMvZTJvRG9jLnhtbFBLAQItABQABgAIAAAAIQDrOxQX4AAAAA4BAAAP&#13;&#10;AAAAAAAAAAAAAAAAAJUEAABkcnMvZG93bnJldi54bWxQSwUGAAAAAAQABADzAAAAogUAAAAA&#13;&#10;" fillcolor="white [3201]" strokeweight=".5pt">
                <v:textbox>
                  <w:txbxContent>
                    <w:p w14:paraId="4FE01166" w14:textId="3134718A" w:rsidR="00B36250" w:rsidRPr="00B930CF" w:rsidRDefault="00B36250">
                      <w:pPr>
                        <w:rPr>
                          <w:lang w:val="es-419"/>
                        </w:rPr>
                      </w:pPr>
                      <w:r>
                        <w:rPr>
                          <w:lang w:val="es-419"/>
                        </w:rPr>
                        <w:t xml:space="preserve">Artículos de texto completo elegibles </w:t>
                      </w:r>
                      <w:r w:rsidR="00C22FE7">
                        <w:rPr>
                          <w:lang w:val="es-419"/>
                        </w:rPr>
                        <w:t>59</w:t>
                      </w:r>
                    </w:p>
                  </w:txbxContent>
                </v:textbox>
              </v:shape>
            </w:pict>
          </mc:Fallback>
        </mc:AlternateContent>
      </w:r>
    </w:p>
    <w:p w14:paraId="72D9F45A"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2E801AD4"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039213B5" w14:textId="77777777" w:rsidR="00B36250" w:rsidRPr="003013DE" w:rsidRDefault="00B36250" w:rsidP="001D7450">
      <w:pPr>
        <w:rPr>
          <w:rFonts w:ascii="Times New Roman" w:eastAsiaTheme="majorEastAsia" w:hAnsi="Times New Roman" w:cs="Times New Roman"/>
          <w:b/>
          <w:bCs/>
          <w:sz w:val="24"/>
          <w:szCs w:val="24"/>
          <w:lang w:val="es-ES" w:eastAsia="es-ES"/>
        </w:rPr>
      </w:pPr>
    </w:p>
    <w:p w14:paraId="7CF3660E" w14:textId="66A140A5" w:rsidR="00B36250" w:rsidRPr="003013DE" w:rsidRDefault="00B36250" w:rsidP="001D7450">
      <w:pPr>
        <w:rPr>
          <w:rFonts w:ascii="Times New Roman" w:eastAsiaTheme="majorEastAsia" w:hAnsi="Times New Roman" w:cs="Times New Roman"/>
          <w:b/>
          <w:bCs/>
          <w:sz w:val="24"/>
          <w:szCs w:val="24"/>
          <w:lang w:val="es-ES" w:eastAsia="es-ES"/>
        </w:rPr>
      </w:pP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8480" behindDoc="0" locked="0" layoutInCell="1" allowOverlap="1" wp14:anchorId="6C2F6AA1" wp14:editId="06A4C630">
                <wp:simplePos x="0" y="0"/>
                <wp:positionH relativeFrom="column">
                  <wp:posOffset>2226945</wp:posOffset>
                </wp:positionH>
                <wp:positionV relativeFrom="paragraph">
                  <wp:posOffset>76200</wp:posOffset>
                </wp:positionV>
                <wp:extent cx="1579880" cy="699770"/>
                <wp:effectExtent l="0" t="0" r="7620" b="11430"/>
                <wp:wrapNone/>
                <wp:docPr id="564502384" name="Cuadro de texto 7"/>
                <wp:cNvGraphicFramePr/>
                <a:graphic xmlns:a="http://schemas.openxmlformats.org/drawingml/2006/main">
                  <a:graphicData uri="http://schemas.microsoft.com/office/word/2010/wordprocessingShape">
                    <wps:wsp>
                      <wps:cNvSpPr txBox="1"/>
                      <wps:spPr>
                        <a:xfrm>
                          <a:off x="0" y="0"/>
                          <a:ext cx="1579880" cy="699770"/>
                        </a:xfrm>
                        <a:prstGeom prst="rect">
                          <a:avLst/>
                        </a:prstGeom>
                        <a:solidFill>
                          <a:schemeClr val="lt1"/>
                        </a:solidFill>
                        <a:ln w="6350">
                          <a:solidFill>
                            <a:prstClr val="black"/>
                          </a:solidFill>
                        </a:ln>
                      </wps:spPr>
                      <wps:txbx>
                        <w:txbxContent>
                          <w:p w14:paraId="725B67F7" w14:textId="613097E2" w:rsidR="00B36250" w:rsidRPr="006802BE" w:rsidRDefault="00B36250">
                            <w:pPr>
                              <w:rPr>
                                <w:lang w:val="es-419"/>
                              </w:rPr>
                            </w:pPr>
                            <w:r>
                              <w:rPr>
                                <w:lang w:val="es-419"/>
                              </w:rPr>
                              <w:t xml:space="preserve">Artículos incluidos </w:t>
                            </w:r>
                            <w:r w:rsidR="001002ED">
                              <w:rPr>
                                <w:lang w:val="es-419"/>
                              </w:rPr>
                              <w:t>42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2F6AA1" id="Cuadro de texto 7" o:spid="_x0000_s1034" type="#_x0000_t202" style="position:absolute;margin-left:175.35pt;margin-top:6pt;width:124.4pt;height:55.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0FEBOgIAAIMEAAAOAAAAZHJzL2Uyb0RvYy54bWysVE2PGjEMvVfqf4hyLwMUFhgxrCgrqkqr&#13;&#10;3ZXYas8hkzBRM3GaBGbor68Tvrc9Vb1k7Nh5tp/tmd63tSY74bwCU9Bep0uJMBxKZTYF/f66/DSm&#13;&#10;xAdmSqbBiILuhaf3s48fpo3NRR8q0KVwBEGMzxtb0CoEm2eZ55Wome+AFQaNElzNAqpuk5WONYhe&#13;&#10;66zf7d5lDbjSOuDCe7x9OBjpLOFLKXh4ltKLQHRBMbeQTpfOdTyz2ZTlG8dspfgxDfYPWdRMGQx6&#13;&#10;hnpggZGtU39A1Yo78CBDh0OdgZSKi1QDVtPrvqtmVTErUi1Ijrdnmvz/g+VPu5V9cSS0X6DFBkZC&#13;&#10;Gutzj5exnla6On4xU4J2pHB/pk20gfD4aDiajMdo4mi7m0xGo8RrdnltnQ9fBdQkCgV12JbEFts9&#13;&#10;+oAR0fXkEoN50KpcKq2TEkdBLLQjO4ZN1CHliC9uvLQhDQb/POwm4BtbhD6/X2vGf8QqbxFQ0wYv&#13;&#10;L7VHKbTrlqiyoOMTL2so90iXg8MkecuXCuEfmQ8vzOHoIA24DuEZD6kBc4KjREkF7tff7qM/dhSt&#13;&#10;lDQ4igX1P7fMCUr0N4O9nvQGgzi7SRkMR31U3LVlfW0x23oBSFQPF8/yJEb/oE+idFC/4dbMY1Q0&#13;&#10;McMxdkHDSVyEw4Lg1nExnycnnFbLwqNZWR6hY2Mira/tG3P22NaAA/EEp6Fl+bvuHnzjSwPzbQCp&#13;&#10;UusjzwdWj/TjpKfuHLcyrtK1nrwu/47ZbwAAAP//AwBQSwMEFAAGAAgAAAAhAF2LovPgAAAADwEA&#13;&#10;AA8AAABkcnMvZG93bnJldi54bWxMT8tOwzAQvCPxD9YicaMOQYEkjVPxKFx6oqCe3di1rcbrKHbT&#13;&#10;8PdsT3BZaXdm59GsZt+zSY/RBRRwv8iAaeyCcmgEfH+935XAYpKoZB9QC/jREVbt9VUjaxXO+Kmn&#13;&#10;bTKMRDDWUoBNaag5j53VXsZFGDQSdgijl4nW0XA1yjOJ+57nWfbIvXRIDlYO+tXq7rg9eQHrF1OZ&#13;&#10;rpSjXZfKuWneHTbmQ4jbm/ltSeN5CSzpOf19wKUD5YeWgu3DCVVkvYCHInsiKgE5FSNCUVUFsP3l&#13;&#10;kOfA24b/79H+AgAA//8DAFBLAQItABQABgAIAAAAIQC2gziS/gAAAOEBAAATAAAAAAAAAAAAAAAA&#13;&#10;AAAAAABbQ29udGVudF9UeXBlc10ueG1sUEsBAi0AFAAGAAgAAAAhADj9If/WAAAAlAEAAAsAAAAA&#13;&#10;AAAAAAAAAAAALwEAAF9yZWxzLy5yZWxzUEsBAi0AFAAGAAgAAAAhAOXQUQE6AgAAgwQAAA4AAAAA&#13;&#10;AAAAAAAAAAAALgIAAGRycy9lMm9Eb2MueG1sUEsBAi0AFAAGAAgAAAAhAF2LovPgAAAADwEAAA8A&#13;&#10;AAAAAAAAAAAAAAAAlAQAAGRycy9kb3ducmV2LnhtbFBLBQYAAAAABAAEAPMAAAChBQAAAAA=&#13;&#10;" fillcolor="white [3201]" strokeweight=".5pt">
                <v:textbox>
                  <w:txbxContent>
                    <w:p w14:paraId="725B67F7" w14:textId="613097E2" w:rsidR="00B36250" w:rsidRPr="006802BE" w:rsidRDefault="00B36250">
                      <w:pPr>
                        <w:rPr>
                          <w:lang w:val="es-419"/>
                        </w:rPr>
                      </w:pPr>
                      <w:r>
                        <w:rPr>
                          <w:lang w:val="es-419"/>
                        </w:rPr>
                        <w:t xml:space="preserve">Artículos incluidos </w:t>
                      </w:r>
                      <w:r w:rsidR="001002ED">
                        <w:rPr>
                          <w:lang w:val="es-419"/>
                        </w:rPr>
                        <w:t>42</w:t>
                      </w:r>
                    </w:p>
                  </w:txbxContent>
                </v:textbox>
              </v:shape>
            </w:pict>
          </mc:Fallback>
        </mc:AlternateContent>
      </w:r>
      <w:r w:rsidRPr="003013DE">
        <w:rPr>
          <w:rFonts w:ascii="Times New Roman" w:eastAsiaTheme="majorEastAsia" w:hAnsi="Times New Roman" w:cs="Times New Roman"/>
          <w:b/>
          <w:bCs/>
          <w:noProof/>
          <w:sz w:val="24"/>
          <w:szCs w:val="24"/>
          <w:lang w:val="es-ES" w:eastAsia="es-ES"/>
          <w14:ligatures w14:val="standardContextual"/>
        </w:rPr>
        <mc:AlternateContent>
          <mc:Choice Requires="wps">
            <w:drawing>
              <wp:anchor distT="0" distB="0" distL="114300" distR="114300" simplePos="0" relativeHeight="251662336" behindDoc="0" locked="0" layoutInCell="1" allowOverlap="1" wp14:anchorId="011FC63A" wp14:editId="3B044FD9">
                <wp:simplePos x="0" y="0"/>
                <wp:positionH relativeFrom="column">
                  <wp:posOffset>-411480</wp:posOffset>
                </wp:positionH>
                <wp:positionV relativeFrom="paragraph">
                  <wp:posOffset>203200</wp:posOffset>
                </wp:positionV>
                <wp:extent cx="1016000" cy="471170"/>
                <wp:effectExtent l="5715" t="0" r="18415" b="18415"/>
                <wp:wrapNone/>
                <wp:docPr id="213948102" name="Cuadro de texto 1"/>
                <wp:cNvGraphicFramePr/>
                <a:graphic xmlns:a="http://schemas.openxmlformats.org/drawingml/2006/main">
                  <a:graphicData uri="http://schemas.microsoft.com/office/word/2010/wordprocessingShape">
                    <wps:wsp>
                      <wps:cNvSpPr txBox="1"/>
                      <wps:spPr>
                        <a:xfrm rot="16200000">
                          <a:off x="0" y="0"/>
                          <a:ext cx="1016000" cy="471170"/>
                        </a:xfrm>
                        <a:prstGeom prst="rect">
                          <a:avLst/>
                        </a:prstGeom>
                        <a:solidFill>
                          <a:schemeClr val="lt1"/>
                        </a:solidFill>
                        <a:ln w="6350">
                          <a:solidFill>
                            <a:prstClr val="black"/>
                          </a:solidFill>
                        </a:ln>
                      </wps:spPr>
                      <wps:txbx>
                        <w:txbxContent>
                          <w:p w14:paraId="06C4D6C4" w14:textId="77777777" w:rsidR="00B36250" w:rsidRPr="00E90127" w:rsidRDefault="00B36250">
                            <w:pPr>
                              <w:rPr>
                                <w:lang w:val="es-419"/>
                              </w:rPr>
                            </w:pPr>
                            <w:r>
                              <w:rPr>
                                <w:lang w:val="es-419"/>
                              </w:rPr>
                              <w:t>Incluidos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1FC63A" id="_x0000_s1035" type="#_x0000_t202" style="position:absolute;margin-left:-32.4pt;margin-top:16pt;width:80pt;height:37.1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RPvUQAIAAJIEAAAOAAAAZHJzL2Uyb0RvYy54bWysVFFv2jAQfp+0/2D5fYQwCm1EqBgV0yTU&#13;&#10;VqJTn43jEGuOz7MNCfv1OzuEQrenaTxYd77PX+6+u2N239aKHIR1EnRO08GQEqE5FFLvcvr9ZfXp&#13;&#10;lhLnmS6YAi1yehSO3s8/fpg1JhMjqEAVwhIk0S5rTE4r702WJI5XomZuAEZoDJZga+bRtbuksKxB&#13;&#10;9lolo+FwkjRgC2OBC+fw9qEL0nnkL0vB/VNZOuGJyinm5uNp47kNZzKfsWxnmakkP6XB/iGLmkmN&#13;&#10;Hz1TPTDPyN7KP6hqyS04KP2AQ51AWUouYg1YTTp8V82mYkbEWlAcZ84yuf9Hyx8PG/NsiW+/QIsN&#13;&#10;DII0xmUOL0M9bWlrYgF1SyeoN/5imZg4QTgqejyrKFpPeOAYppOAIxxj42maTqPMSUcWSI11/quA&#13;&#10;mgQjpxa7FFnZYe08JoDQHhLgDpQsVlKp6ITJEEtlyYFhT5WPKeOLK5TSpMnp5PNNl+5VLFCf328V&#13;&#10;4z9C0dcM6CmNl29SBMu325bIIqd3vUxbKI6oXhQIK3aGryTSr5nzz8ziJOElbod/wqNUgDnByaKk&#13;&#10;Avvrb/cBjw3GKCUNTmZO3c89s4IS9U1j6+/S8RhpfXTGN9MROvYysr2M6H29BBQqjdlFM+C96s3S&#13;&#10;Qv2KS7QIX8UQ0xy/nVPfm0vf7QsuIReLRQTh8Brm13pjeKDum/rSvjJrTm31OBCP0M8wy951t8OG&#13;&#10;lxoWew+ljK0POneqnuTHwY/dOS1p2KxLP6Le/krmvwEAAP//AwBQSwMEFAAGAAgAAAAhAClLJ7Xi&#13;&#10;AAAADwEAAA8AAABkcnMvZG93bnJldi54bWxMT01PwzAMvSPxHyIjcdvSFpi2runEpyYhhMSGxDVt&#13;&#10;TFNonNJkW8evx5zgYj3Lz++jWI2uE3scQutJQTpNQCDV3rTUKHjdPkzmIELUZHTnCRUcMcCqPD0p&#13;&#10;dG78gV5wv4mNYBEKuVZgY+xzKUNt0ekw9T0S39794HTkdWikGfSBxV0nsySZSadbYgere7y1WH9u&#13;&#10;dk7B9/j4MbupaH3fYvyyb+vno3tCpc7Pxrslj+sliIhj/PuA3w6cH0oOVvkdmSA6BZMsXTCVQZow&#13;&#10;YMZVdgGiYublIgVZFvJ/j/IHAAD//wMAUEsBAi0AFAAGAAgAAAAhALaDOJL+AAAA4QEAABMAAAAA&#13;&#10;AAAAAAAAAAAAAAAAAFtDb250ZW50X1R5cGVzXS54bWxQSwECLQAUAAYACAAAACEAOP0h/9YAAACU&#13;&#10;AQAACwAAAAAAAAAAAAAAAAAvAQAAX3JlbHMvLnJlbHNQSwECLQAUAAYACAAAACEArET71EACAACS&#13;&#10;BAAADgAAAAAAAAAAAAAAAAAuAgAAZHJzL2Uyb0RvYy54bWxQSwECLQAUAAYACAAAACEAKUsnteIA&#13;&#10;AAAPAQAADwAAAAAAAAAAAAAAAACaBAAAZHJzL2Rvd25yZXYueG1sUEsFBgAAAAAEAAQA8wAAAKkF&#13;&#10;AAAAAA==&#13;&#10;" fillcolor="white [3201]" strokeweight=".5pt">
                <v:textbox>
                  <w:txbxContent>
                    <w:p w14:paraId="06C4D6C4" w14:textId="77777777" w:rsidR="00B36250" w:rsidRPr="00E90127" w:rsidRDefault="00B36250">
                      <w:pPr>
                        <w:rPr>
                          <w:lang w:val="es-419"/>
                        </w:rPr>
                      </w:pPr>
                      <w:r>
                        <w:rPr>
                          <w:lang w:val="es-419"/>
                        </w:rPr>
                        <w:t>Incluidos</w:t>
                      </w:r>
                    </w:p>
                  </w:txbxContent>
                </v:textbox>
              </v:shape>
            </w:pict>
          </mc:Fallback>
        </mc:AlternateContent>
      </w:r>
    </w:p>
    <w:p w14:paraId="209F2D6F" w14:textId="77777777" w:rsidR="00B36250" w:rsidRPr="003013DE" w:rsidRDefault="00B36250" w:rsidP="001D7450">
      <w:pPr>
        <w:rPr>
          <w:rFonts w:ascii="Times New Roman" w:hAnsi="Times New Roman" w:cs="Times New Roman"/>
          <w:b/>
          <w:bCs/>
          <w:sz w:val="24"/>
          <w:szCs w:val="24"/>
          <w:lang w:val="es-ES"/>
        </w:rPr>
      </w:pPr>
    </w:p>
    <w:p w14:paraId="159EC907" w14:textId="77777777" w:rsidR="00B36250" w:rsidRPr="003013DE" w:rsidRDefault="00B36250" w:rsidP="001D7450">
      <w:pPr>
        <w:rPr>
          <w:rFonts w:ascii="Times New Roman" w:hAnsi="Times New Roman" w:cs="Times New Roman"/>
          <w:b/>
          <w:bCs/>
          <w:sz w:val="24"/>
          <w:szCs w:val="24"/>
          <w:lang w:val="es-ES"/>
        </w:rPr>
      </w:pPr>
    </w:p>
    <w:p w14:paraId="2AC6C8CB" w14:textId="30D2C489" w:rsidR="001956FC" w:rsidRDefault="001956FC" w:rsidP="001D7450">
      <w:pPr>
        <w:rPr>
          <w:rFonts w:ascii="Times New Roman" w:hAnsi="Times New Roman" w:cs="Times New Roman"/>
          <w:b/>
          <w:bCs/>
          <w:sz w:val="24"/>
          <w:szCs w:val="24"/>
          <w:lang w:val="es-ES"/>
        </w:rPr>
      </w:pPr>
    </w:p>
    <w:p w14:paraId="11920155" w14:textId="77777777" w:rsidR="005245BC" w:rsidRPr="003013DE" w:rsidRDefault="005245BC" w:rsidP="001D7450">
      <w:pPr>
        <w:rPr>
          <w:rFonts w:ascii="Times New Roman" w:hAnsi="Times New Roman" w:cs="Times New Roman"/>
          <w:b/>
          <w:bCs/>
          <w:sz w:val="24"/>
          <w:szCs w:val="24"/>
          <w:lang w:val="es-ES"/>
        </w:rPr>
      </w:pPr>
    </w:p>
    <w:p w14:paraId="12D34CEB" w14:textId="77777777" w:rsidR="001D7450" w:rsidRPr="003013DE" w:rsidRDefault="001D7450" w:rsidP="001D7450">
      <w:pPr>
        <w:rPr>
          <w:rFonts w:ascii="Times New Roman" w:hAnsi="Times New Roman" w:cs="Times New Roman"/>
          <w:b/>
          <w:bCs/>
          <w:sz w:val="24"/>
          <w:szCs w:val="24"/>
          <w:lang w:val="es-ES"/>
        </w:rPr>
      </w:pPr>
    </w:p>
    <w:p w14:paraId="6C237492" w14:textId="7679A9A2" w:rsidR="00B36250" w:rsidRPr="003013DE" w:rsidRDefault="005245BC" w:rsidP="001D7450">
      <w:pPr>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3.7 </w:t>
      </w:r>
      <w:r w:rsidR="00B36250" w:rsidRPr="003013DE">
        <w:rPr>
          <w:rFonts w:ascii="Times New Roman" w:hAnsi="Times New Roman" w:cs="Times New Roman"/>
          <w:b/>
          <w:bCs/>
          <w:sz w:val="24"/>
          <w:szCs w:val="24"/>
          <w:lang w:val="es-ES"/>
        </w:rPr>
        <w:t>Clasificación según niveles de evidenci</w:t>
      </w:r>
      <w:r w:rsidR="001956FC" w:rsidRPr="003013DE">
        <w:rPr>
          <w:rFonts w:ascii="Times New Roman" w:hAnsi="Times New Roman" w:cs="Times New Roman"/>
          <w:b/>
          <w:bCs/>
          <w:sz w:val="24"/>
          <w:szCs w:val="24"/>
          <w:lang w:val="es-ES"/>
        </w:rPr>
        <w:t>a</w:t>
      </w:r>
      <w:r w:rsidR="00B36250" w:rsidRPr="003013DE">
        <w:rPr>
          <w:rFonts w:ascii="Times New Roman" w:eastAsiaTheme="majorEastAsia" w:hAnsi="Times New Roman" w:cs="Times New Roman"/>
          <w:sz w:val="24"/>
          <w:szCs w:val="24"/>
          <w:lang w:val="es-ES" w:eastAsia="es-ES"/>
        </w:rPr>
        <w:t xml:space="preserve">           </w:t>
      </w:r>
    </w:p>
    <w:p w14:paraId="273BF236" w14:textId="034154F7" w:rsidR="00B36250" w:rsidRPr="003013DE" w:rsidRDefault="001956FC" w:rsidP="005245BC">
      <w:pPr>
        <w:spacing w:before="240" w:line="360" w:lineRule="auto"/>
        <w:ind w:firstLine="708"/>
        <w:jc w:val="both"/>
        <w:rPr>
          <w:rFonts w:ascii="Times New Roman" w:eastAsiaTheme="majorEastAsia" w:hAnsi="Times New Roman" w:cs="Times New Roman"/>
          <w:sz w:val="24"/>
          <w:szCs w:val="24"/>
          <w:lang w:val="es-ES" w:eastAsia="es-ES"/>
        </w:rPr>
      </w:pPr>
      <w:r w:rsidRPr="003013DE">
        <w:rPr>
          <w:rFonts w:ascii="Times New Roman" w:eastAsiaTheme="majorEastAsia" w:hAnsi="Times New Roman" w:cs="Times New Roman"/>
          <w:sz w:val="24"/>
          <w:szCs w:val="24"/>
          <w:lang w:val="es-ES" w:eastAsia="es-ES"/>
        </w:rPr>
        <w:t>Con el propósito de valorar la solidez metodológica de los estudios incluidos, se realizó una clasificación de los artículos de acuerdo con niveles de evidencia reconocidos en ciencias de la salud. Esta categorización permitió organizar la literatura según su jerarquía metodológica, facilitando un análisis crítico del peso científico de los hallazgos y fortaleciendo la interpretación global de la evidencia recopilada.</w:t>
      </w:r>
    </w:p>
    <w:p w14:paraId="41C7CE1F" w14:textId="34C7F575" w:rsidR="00B36250" w:rsidRPr="00F35382" w:rsidRDefault="001D7450" w:rsidP="001D7450">
      <w:pPr>
        <w:jc w:val="center"/>
        <w:rPr>
          <w:rFonts w:ascii="Times New Roman" w:eastAsiaTheme="majorEastAsia" w:hAnsi="Times New Roman" w:cs="Times New Roman"/>
          <w:b/>
          <w:bCs/>
          <w:sz w:val="24"/>
          <w:szCs w:val="24"/>
          <w:lang w:val="es-ES" w:eastAsia="es-ES"/>
        </w:rPr>
      </w:pPr>
      <w:bookmarkStart w:id="109" w:name="_Toc129629669"/>
      <w:bookmarkStart w:id="110" w:name="_Toc129695789"/>
      <w:bookmarkStart w:id="111" w:name="_Toc223177496"/>
      <w:r w:rsidRPr="00F35382">
        <w:rPr>
          <w:rFonts w:ascii="Times New Roman" w:hAnsi="Times New Roman" w:cs="Times New Roman"/>
          <w:b/>
          <w:bCs/>
          <w:sz w:val="24"/>
          <w:szCs w:val="24"/>
        </w:rPr>
        <w:t xml:space="preserve">Tabla </w:t>
      </w:r>
      <w:r w:rsidRPr="00F35382">
        <w:rPr>
          <w:rFonts w:ascii="Times New Roman" w:hAnsi="Times New Roman" w:cs="Times New Roman"/>
          <w:b/>
          <w:bCs/>
          <w:sz w:val="24"/>
          <w:szCs w:val="24"/>
        </w:rPr>
        <w:fldChar w:fldCharType="begin"/>
      </w:r>
      <w:r w:rsidRPr="00F35382">
        <w:rPr>
          <w:rFonts w:ascii="Times New Roman" w:hAnsi="Times New Roman" w:cs="Times New Roman"/>
          <w:b/>
          <w:bCs/>
          <w:sz w:val="24"/>
          <w:szCs w:val="24"/>
        </w:rPr>
        <w:instrText xml:space="preserve"> SEQ Tabla \* ARABIC </w:instrText>
      </w:r>
      <w:r w:rsidRPr="00F35382">
        <w:rPr>
          <w:rFonts w:ascii="Times New Roman" w:hAnsi="Times New Roman" w:cs="Times New Roman"/>
          <w:b/>
          <w:bCs/>
          <w:sz w:val="24"/>
          <w:szCs w:val="24"/>
        </w:rPr>
        <w:fldChar w:fldCharType="separate"/>
      </w:r>
      <w:r w:rsidRPr="00F35382">
        <w:rPr>
          <w:rFonts w:ascii="Times New Roman" w:hAnsi="Times New Roman" w:cs="Times New Roman"/>
          <w:b/>
          <w:bCs/>
          <w:noProof/>
          <w:sz w:val="24"/>
          <w:szCs w:val="24"/>
        </w:rPr>
        <w:t>3</w:t>
      </w:r>
      <w:r w:rsidRPr="00F35382">
        <w:rPr>
          <w:rFonts w:ascii="Times New Roman" w:hAnsi="Times New Roman" w:cs="Times New Roman"/>
          <w:b/>
          <w:bCs/>
          <w:sz w:val="24"/>
          <w:szCs w:val="24"/>
        </w:rPr>
        <w:fldChar w:fldCharType="end"/>
      </w:r>
      <w:r w:rsidRPr="00F35382">
        <w:rPr>
          <w:rFonts w:ascii="Times New Roman" w:hAnsi="Times New Roman" w:cs="Times New Roman"/>
          <w:b/>
          <w:bCs/>
          <w:sz w:val="24"/>
          <w:szCs w:val="24"/>
        </w:rPr>
        <w:t xml:space="preserve"> </w:t>
      </w:r>
      <w:r w:rsidR="00B36250" w:rsidRPr="00F35382">
        <w:rPr>
          <w:rFonts w:ascii="Times New Roman" w:eastAsiaTheme="majorEastAsia" w:hAnsi="Times New Roman" w:cs="Times New Roman"/>
          <w:b/>
          <w:bCs/>
          <w:sz w:val="24"/>
          <w:szCs w:val="24"/>
          <w:lang w:val="es-ES" w:eastAsia="es-ES"/>
        </w:rPr>
        <w:t>Cantidad de artículos según nivel de evidencia</w:t>
      </w:r>
      <w:bookmarkEnd w:id="109"/>
      <w:bookmarkEnd w:id="110"/>
      <w:bookmarkEnd w:id="111"/>
    </w:p>
    <w:tbl>
      <w:tblPr>
        <w:tblStyle w:val="Tablaconcuadrcula1clara"/>
        <w:tblW w:w="8926" w:type="dxa"/>
        <w:tblLook w:val="04A0" w:firstRow="1" w:lastRow="0" w:firstColumn="1" w:lastColumn="0" w:noHBand="0" w:noVBand="1"/>
      </w:tblPr>
      <w:tblGrid>
        <w:gridCol w:w="1271"/>
        <w:gridCol w:w="2977"/>
        <w:gridCol w:w="1701"/>
        <w:gridCol w:w="1559"/>
        <w:gridCol w:w="1418"/>
      </w:tblGrid>
      <w:tr w:rsidR="003013DE" w:rsidRPr="003013DE" w14:paraId="32A80CB1" w14:textId="77777777" w:rsidTr="005245BC">
        <w:trPr>
          <w:cnfStyle w:val="100000000000" w:firstRow="1" w:lastRow="0" w:firstColumn="0" w:lastColumn="0" w:oddVBand="0" w:evenVBand="0" w:oddHBand="0" w:evenHBand="0" w:firstRowFirstColumn="0" w:firstRowLastColumn="0" w:lastRowFirstColumn="0" w:lastRowLastColumn="0"/>
          <w:trHeight w:val="966"/>
        </w:trPr>
        <w:tc>
          <w:tcPr>
            <w:cnfStyle w:val="001000000000" w:firstRow="0" w:lastRow="0" w:firstColumn="1" w:lastColumn="0" w:oddVBand="0" w:evenVBand="0" w:oddHBand="0" w:evenHBand="0" w:firstRowFirstColumn="0" w:firstRowLastColumn="0" w:lastRowFirstColumn="0" w:lastRowLastColumn="0"/>
            <w:tcW w:w="1271" w:type="dxa"/>
          </w:tcPr>
          <w:p w14:paraId="611A9C33"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Nivel de evidencia</w:t>
            </w:r>
          </w:p>
        </w:tc>
        <w:tc>
          <w:tcPr>
            <w:tcW w:w="2977" w:type="dxa"/>
          </w:tcPr>
          <w:p w14:paraId="54E728CB" w14:textId="77777777" w:rsidR="00B36250" w:rsidRPr="003013DE" w:rsidRDefault="00B36250" w:rsidP="00E57670">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Tipo de estudio</w:t>
            </w:r>
          </w:p>
        </w:tc>
        <w:tc>
          <w:tcPr>
            <w:tcW w:w="1701" w:type="dxa"/>
          </w:tcPr>
          <w:p w14:paraId="4314CC89" w14:textId="77777777" w:rsidR="00B36250" w:rsidRPr="003013DE" w:rsidRDefault="00B36250" w:rsidP="00E57670">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Cantidad según tipo de estudio</w:t>
            </w:r>
          </w:p>
        </w:tc>
        <w:tc>
          <w:tcPr>
            <w:tcW w:w="1559" w:type="dxa"/>
          </w:tcPr>
          <w:p w14:paraId="0FF786FA" w14:textId="77777777" w:rsidR="00B36250" w:rsidRPr="003013DE" w:rsidRDefault="00B36250" w:rsidP="00E57670">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Cantidad según nivel de evidencia</w:t>
            </w:r>
          </w:p>
        </w:tc>
        <w:tc>
          <w:tcPr>
            <w:tcW w:w="1418" w:type="dxa"/>
          </w:tcPr>
          <w:p w14:paraId="2601EB2E" w14:textId="77777777" w:rsidR="00B36250" w:rsidRPr="003013DE" w:rsidRDefault="00B36250" w:rsidP="00E57670">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Porcentaje</w:t>
            </w:r>
          </w:p>
        </w:tc>
      </w:tr>
      <w:tr w:rsidR="003013DE" w:rsidRPr="003013DE" w14:paraId="3F449856" w14:textId="77777777" w:rsidTr="005245BC">
        <w:trPr>
          <w:trHeight w:val="1110"/>
        </w:trPr>
        <w:tc>
          <w:tcPr>
            <w:cnfStyle w:val="001000000000" w:firstRow="0" w:lastRow="0" w:firstColumn="1" w:lastColumn="0" w:oddVBand="0" w:evenVBand="0" w:oddHBand="0" w:evenHBand="0" w:firstRowFirstColumn="0" w:firstRowLastColumn="0" w:lastRowFirstColumn="0" w:lastRowLastColumn="0"/>
            <w:tcW w:w="1271" w:type="dxa"/>
          </w:tcPr>
          <w:p w14:paraId="73FBB8FD"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1a</w:t>
            </w:r>
          </w:p>
        </w:tc>
        <w:tc>
          <w:tcPr>
            <w:tcW w:w="2977" w:type="dxa"/>
          </w:tcPr>
          <w:p w14:paraId="1AF4C82F" w14:textId="77777777" w:rsidR="00B36250" w:rsidRPr="003013DE" w:rsidRDefault="00B36250" w:rsidP="00E57670">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eastAsia="es-ES"/>
              </w:rPr>
              <w:t>Revisión sistemática con trato estadístico de ECCA / Metaanálisis de ECCA</w:t>
            </w:r>
          </w:p>
        </w:tc>
        <w:tc>
          <w:tcPr>
            <w:tcW w:w="1701" w:type="dxa"/>
          </w:tcPr>
          <w:p w14:paraId="3BB079BB" w14:textId="7ED60393" w:rsidR="00B36250" w:rsidRPr="003013DE" w:rsidRDefault="004E011D"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15</w:t>
            </w:r>
          </w:p>
        </w:tc>
        <w:tc>
          <w:tcPr>
            <w:tcW w:w="1559" w:type="dxa"/>
          </w:tcPr>
          <w:p w14:paraId="7C3ADFC9" w14:textId="7D26F20D" w:rsidR="00B36250" w:rsidRPr="003013DE" w:rsidRDefault="004E011D"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15</w:t>
            </w:r>
          </w:p>
        </w:tc>
        <w:tc>
          <w:tcPr>
            <w:tcW w:w="1418" w:type="dxa"/>
          </w:tcPr>
          <w:p w14:paraId="79A80E96" w14:textId="3055F50D" w:rsidR="00B36250" w:rsidRPr="003013DE" w:rsidRDefault="007F5BB2"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41</w:t>
            </w:r>
            <w:r w:rsidR="00B36250" w:rsidRPr="003013DE">
              <w:rPr>
                <w:rFonts w:ascii="Times New Roman" w:eastAsiaTheme="minorEastAsia" w:hAnsi="Times New Roman" w:cs="Times New Roman"/>
                <w:sz w:val="24"/>
                <w:szCs w:val="24"/>
                <w:lang w:val="es-ES" w:eastAsia="es-ES"/>
              </w:rPr>
              <w:t>%</w:t>
            </w:r>
          </w:p>
        </w:tc>
      </w:tr>
      <w:tr w:rsidR="003013DE" w:rsidRPr="003013DE" w14:paraId="68628375" w14:textId="77777777" w:rsidTr="005245BC">
        <w:trPr>
          <w:trHeight w:val="701"/>
        </w:trPr>
        <w:tc>
          <w:tcPr>
            <w:cnfStyle w:val="001000000000" w:firstRow="0" w:lastRow="0" w:firstColumn="1" w:lastColumn="0" w:oddVBand="0" w:evenVBand="0" w:oddHBand="0" w:evenHBand="0" w:firstRowFirstColumn="0" w:firstRowLastColumn="0" w:lastRowFirstColumn="0" w:lastRowLastColumn="0"/>
            <w:tcW w:w="1271" w:type="dxa"/>
          </w:tcPr>
          <w:p w14:paraId="45950138"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1b</w:t>
            </w:r>
          </w:p>
        </w:tc>
        <w:tc>
          <w:tcPr>
            <w:tcW w:w="2977" w:type="dxa"/>
          </w:tcPr>
          <w:p w14:paraId="005CA35B"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eastAsia="es-ES"/>
              </w:rPr>
              <w:t>Revisión sistemática de ECCA (sin trato estadístico) / Revisiones de ECCA de más de 100 pacientes</w:t>
            </w:r>
          </w:p>
        </w:tc>
        <w:tc>
          <w:tcPr>
            <w:tcW w:w="1701" w:type="dxa"/>
          </w:tcPr>
          <w:p w14:paraId="7CF37DA5" w14:textId="3AC53677" w:rsidR="00B36250" w:rsidRPr="003013DE" w:rsidRDefault="004E011D"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10</w:t>
            </w:r>
          </w:p>
        </w:tc>
        <w:tc>
          <w:tcPr>
            <w:tcW w:w="1559" w:type="dxa"/>
          </w:tcPr>
          <w:p w14:paraId="24282DDD" w14:textId="0943AFF8" w:rsidR="00B36250" w:rsidRPr="003013DE" w:rsidRDefault="004E011D"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10</w:t>
            </w:r>
          </w:p>
        </w:tc>
        <w:tc>
          <w:tcPr>
            <w:tcW w:w="1418" w:type="dxa"/>
          </w:tcPr>
          <w:p w14:paraId="34743002" w14:textId="18666CD1" w:rsidR="00B36250" w:rsidRPr="003013DE" w:rsidRDefault="007F5BB2"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28</w:t>
            </w:r>
            <w:r w:rsidR="00B36250" w:rsidRPr="003013DE">
              <w:rPr>
                <w:rFonts w:ascii="Times New Roman" w:eastAsiaTheme="minorEastAsia" w:hAnsi="Times New Roman" w:cs="Times New Roman"/>
                <w:sz w:val="24"/>
                <w:szCs w:val="24"/>
                <w:lang w:val="es-ES" w:eastAsia="es-ES"/>
              </w:rPr>
              <w:t>%</w:t>
            </w:r>
          </w:p>
        </w:tc>
      </w:tr>
      <w:tr w:rsidR="003013DE" w:rsidRPr="003013DE" w14:paraId="23733C06" w14:textId="77777777" w:rsidTr="005245BC">
        <w:trPr>
          <w:trHeight w:val="1805"/>
        </w:trPr>
        <w:tc>
          <w:tcPr>
            <w:cnfStyle w:val="001000000000" w:firstRow="0" w:lastRow="0" w:firstColumn="1" w:lastColumn="0" w:oddVBand="0" w:evenVBand="0" w:oddHBand="0" w:evenHBand="0" w:firstRowFirstColumn="0" w:firstRowLastColumn="0" w:lastRowFirstColumn="0" w:lastRowLastColumn="0"/>
            <w:tcW w:w="1271" w:type="dxa"/>
          </w:tcPr>
          <w:p w14:paraId="265A0B54"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2a</w:t>
            </w:r>
          </w:p>
        </w:tc>
        <w:tc>
          <w:tcPr>
            <w:tcW w:w="2977" w:type="dxa"/>
          </w:tcPr>
          <w:p w14:paraId="6771579A"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hAnsi="Times New Roman" w:cs="Times New Roman"/>
                <w:sz w:val="24"/>
                <w:szCs w:val="24"/>
              </w:rPr>
              <w:t>Revisiones sistemáticas con trato estadístico de estudios de cohortes prospectivos / Metaanálisis de estudios de cohortes prospectivos</w:t>
            </w:r>
          </w:p>
        </w:tc>
        <w:tc>
          <w:tcPr>
            <w:tcW w:w="1701" w:type="dxa"/>
          </w:tcPr>
          <w:p w14:paraId="023A90BB" w14:textId="6F7625AE" w:rsidR="00B36250" w:rsidRPr="003013DE" w:rsidRDefault="00F05ED2"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5</w:t>
            </w:r>
          </w:p>
        </w:tc>
        <w:tc>
          <w:tcPr>
            <w:tcW w:w="1559" w:type="dxa"/>
          </w:tcPr>
          <w:p w14:paraId="1BCF0AFC" w14:textId="2290719C" w:rsidR="00B36250" w:rsidRPr="003013DE" w:rsidRDefault="00F05ED2"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5</w:t>
            </w:r>
          </w:p>
        </w:tc>
        <w:tc>
          <w:tcPr>
            <w:tcW w:w="1418" w:type="dxa"/>
          </w:tcPr>
          <w:p w14:paraId="70E5301A" w14:textId="3BC5D0AA" w:rsidR="00B36250" w:rsidRPr="003013DE" w:rsidRDefault="007F5BB2"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14</w:t>
            </w:r>
            <w:r w:rsidR="00B36250" w:rsidRPr="003013DE">
              <w:rPr>
                <w:rFonts w:ascii="Times New Roman" w:eastAsiaTheme="minorEastAsia" w:hAnsi="Times New Roman" w:cs="Times New Roman"/>
                <w:sz w:val="24"/>
                <w:szCs w:val="24"/>
                <w:lang w:val="es-ES" w:eastAsia="es-ES"/>
              </w:rPr>
              <w:t>%</w:t>
            </w:r>
          </w:p>
        </w:tc>
      </w:tr>
      <w:tr w:rsidR="003013DE" w:rsidRPr="003013DE" w14:paraId="7998D389" w14:textId="77777777" w:rsidTr="005245BC">
        <w:trPr>
          <w:trHeight w:val="1805"/>
        </w:trPr>
        <w:tc>
          <w:tcPr>
            <w:cnfStyle w:val="001000000000" w:firstRow="0" w:lastRow="0" w:firstColumn="1" w:lastColumn="0" w:oddVBand="0" w:evenVBand="0" w:oddHBand="0" w:evenHBand="0" w:firstRowFirstColumn="0" w:firstRowLastColumn="0" w:lastRowFirstColumn="0" w:lastRowLastColumn="0"/>
            <w:tcW w:w="1271" w:type="dxa"/>
          </w:tcPr>
          <w:p w14:paraId="16D27F49"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lastRenderedPageBreak/>
              <w:t>2b</w:t>
            </w:r>
          </w:p>
        </w:tc>
        <w:tc>
          <w:tcPr>
            <w:tcW w:w="2977" w:type="dxa"/>
          </w:tcPr>
          <w:p w14:paraId="2469C37A"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013DE">
              <w:rPr>
                <w:rFonts w:ascii="Times New Roman" w:hAnsi="Times New Roman" w:cs="Times New Roman"/>
                <w:sz w:val="24"/>
                <w:szCs w:val="24"/>
              </w:rPr>
              <w:t>Estudios transversales / Observacionales / Cuasi-experimentales / Estudios de revisión narrativa</w:t>
            </w:r>
          </w:p>
        </w:tc>
        <w:tc>
          <w:tcPr>
            <w:tcW w:w="1701" w:type="dxa"/>
          </w:tcPr>
          <w:p w14:paraId="087CDC64" w14:textId="0A6F6064" w:rsidR="00B36250" w:rsidRPr="003013DE" w:rsidRDefault="0086186C"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6</w:t>
            </w:r>
          </w:p>
        </w:tc>
        <w:tc>
          <w:tcPr>
            <w:tcW w:w="1559" w:type="dxa"/>
          </w:tcPr>
          <w:p w14:paraId="391F9D3A" w14:textId="6DD1896F" w:rsidR="00B36250" w:rsidRPr="003013DE" w:rsidRDefault="0086186C"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6</w:t>
            </w:r>
          </w:p>
        </w:tc>
        <w:tc>
          <w:tcPr>
            <w:tcW w:w="1418" w:type="dxa"/>
          </w:tcPr>
          <w:p w14:paraId="0CDF9D0E" w14:textId="126D8CAB" w:rsidR="00B36250" w:rsidRPr="003013DE" w:rsidRDefault="007F5BB2"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17</w:t>
            </w:r>
            <w:r w:rsidR="00B36250" w:rsidRPr="003013DE">
              <w:rPr>
                <w:rFonts w:ascii="Times New Roman" w:eastAsiaTheme="minorEastAsia" w:hAnsi="Times New Roman" w:cs="Times New Roman"/>
                <w:sz w:val="24"/>
                <w:szCs w:val="24"/>
                <w:lang w:val="es-ES" w:eastAsia="es-ES"/>
              </w:rPr>
              <w:t xml:space="preserve"> %</w:t>
            </w:r>
          </w:p>
        </w:tc>
      </w:tr>
      <w:tr w:rsidR="003013DE" w:rsidRPr="003013DE" w14:paraId="7BD1C6B5" w14:textId="77777777" w:rsidTr="005245BC">
        <w:trPr>
          <w:trHeight w:val="4146"/>
        </w:trPr>
        <w:tc>
          <w:tcPr>
            <w:cnfStyle w:val="001000000000" w:firstRow="0" w:lastRow="0" w:firstColumn="1" w:lastColumn="0" w:oddVBand="0" w:evenVBand="0" w:oddHBand="0" w:evenHBand="0" w:firstRowFirstColumn="0" w:firstRowLastColumn="0" w:lastRowFirstColumn="0" w:lastRowLastColumn="0"/>
            <w:tcW w:w="1271" w:type="dxa"/>
          </w:tcPr>
          <w:p w14:paraId="76F82A79"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3</w:t>
            </w:r>
          </w:p>
        </w:tc>
        <w:tc>
          <w:tcPr>
            <w:tcW w:w="2977" w:type="dxa"/>
          </w:tcPr>
          <w:p w14:paraId="29825FF7"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eastAsia="es-ES"/>
              </w:rPr>
              <w:t>Ensayos clínicos no controlados / Estudios de cohortes con control histórico</w:t>
            </w:r>
          </w:p>
        </w:tc>
        <w:tc>
          <w:tcPr>
            <w:tcW w:w="1701" w:type="dxa"/>
          </w:tcPr>
          <w:p w14:paraId="09A851E3"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0</w:t>
            </w:r>
          </w:p>
        </w:tc>
        <w:tc>
          <w:tcPr>
            <w:tcW w:w="1559" w:type="dxa"/>
          </w:tcPr>
          <w:p w14:paraId="195A2C10"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0</w:t>
            </w:r>
          </w:p>
        </w:tc>
        <w:tc>
          <w:tcPr>
            <w:tcW w:w="1418" w:type="dxa"/>
          </w:tcPr>
          <w:p w14:paraId="335916F0"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0%</w:t>
            </w:r>
          </w:p>
        </w:tc>
      </w:tr>
      <w:tr w:rsidR="003013DE" w:rsidRPr="003013DE" w14:paraId="06CA7628" w14:textId="77777777" w:rsidTr="005245BC">
        <w:trPr>
          <w:trHeight w:val="2074"/>
        </w:trPr>
        <w:tc>
          <w:tcPr>
            <w:cnfStyle w:val="001000000000" w:firstRow="0" w:lastRow="0" w:firstColumn="1" w:lastColumn="0" w:oddVBand="0" w:evenVBand="0" w:oddHBand="0" w:evenHBand="0" w:firstRowFirstColumn="0" w:firstRowLastColumn="0" w:lastRowFirstColumn="0" w:lastRowLastColumn="0"/>
            <w:tcW w:w="1271" w:type="dxa"/>
          </w:tcPr>
          <w:p w14:paraId="39C0FF92"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4</w:t>
            </w:r>
          </w:p>
        </w:tc>
        <w:tc>
          <w:tcPr>
            <w:tcW w:w="2977" w:type="dxa"/>
          </w:tcPr>
          <w:p w14:paraId="3C195A95"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eastAsia="es-ES"/>
              </w:rPr>
              <w:t>Opiniones de expertos / Otros documentos (libros, capítulos de libros, etc.)</w:t>
            </w:r>
          </w:p>
        </w:tc>
        <w:tc>
          <w:tcPr>
            <w:tcW w:w="1701" w:type="dxa"/>
          </w:tcPr>
          <w:p w14:paraId="33B4D81A"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0</w:t>
            </w:r>
          </w:p>
        </w:tc>
        <w:tc>
          <w:tcPr>
            <w:tcW w:w="1559" w:type="dxa"/>
          </w:tcPr>
          <w:p w14:paraId="3BD32C58"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0</w:t>
            </w:r>
          </w:p>
        </w:tc>
        <w:tc>
          <w:tcPr>
            <w:tcW w:w="1418" w:type="dxa"/>
          </w:tcPr>
          <w:p w14:paraId="2F591013"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0%</w:t>
            </w:r>
          </w:p>
        </w:tc>
      </w:tr>
      <w:tr w:rsidR="003013DE" w:rsidRPr="003013DE" w14:paraId="537627D3" w14:textId="77777777" w:rsidTr="005245BC">
        <w:tc>
          <w:tcPr>
            <w:cnfStyle w:val="001000000000" w:firstRow="0" w:lastRow="0" w:firstColumn="1" w:lastColumn="0" w:oddVBand="0" w:evenVBand="0" w:oddHBand="0" w:evenHBand="0" w:firstRowFirstColumn="0" w:firstRowLastColumn="0" w:lastRowFirstColumn="0" w:lastRowLastColumn="0"/>
            <w:tcW w:w="5949" w:type="dxa"/>
            <w:gridSpan w:val="3"/>
          </w:tcPr>
          <w:p w14:paraId="20239A6D" w14:textId="77777777" w:rsidR="00B36250" w:rsidRPr="003013DE" w:rsidRDefault="00B36250" w:rsidP="00E57670">
            <w:pPr>
              <w:spacing w:before="24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Total</w:t>
            </w:r>
          </w:p>
        </w:tc>
        <w:tc>
          <w:tcPr>
            <w:tcW w:w="1559" w:type="dxa"/>
          </w:tcPr>
          <w:p w14:paraId="10E7FC6D"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42</w:t>
            </w:r>
          </w:p>
        </w:tc>
        <w:tc>
          <w:tcPr>
            <w:tcW w:w="1418" w:type="dxa"/>
          </w:tcPr>
          <w:p w14:paraId="2ECB973F" w14:textId="77777777" w:rsidR="00B36250" w:rsidRPr="003013DE" w:rsidRDefault="00B36250" w:rsidP="00E57670">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100%</w:t>
            </w:r>
          </w:p>
        </w:tc>
      </w:tr>
    </w:tbl>
    <w:p w14:paraId="76E29E9E" w14:textId="77777777" w:rsidR="00B36250" w:rsidRPr="003013DE" w:rsidRDefault="00B36250" w:rsidP="00E57670">
      <w:pPr>
        <w:spacing w:before="240" w:after="0" w:line="360" w:lineRule="auto"/>
        <w:jc w:val="center"/>
        <w:rPr>
          <w:rFonts w:ascii="Times New Roman" w:eastAsiaTheme="minorEastAsia" w:hAnsi="Times New Roman" w:cs="Times New Roman"/>
          <w:sz w:val="24"/>
          <w:szCs w:val="24"/>
          <w:lang w:val="es-ES" w:eastAsia="es-ES"/>
        </w:rPr>
      </w:pPr>
      <w:r w:rsidRPr="003013DE">
        <w:rPr>
          <w:rFonts w:ascii="Times New Roman" w:eastAsiaTheme="minorEastAsia" w:hAnsi="Times New Roman" w:cs="Times New Roman"/>
          <w:sz w:val="24"/>
          <w:szCs w:val="24"/>
          <w:lang w:val="es-ES" w:eastAsia="es-ES"/>
        </w:rPr>
        <w:t>Fuente: Elaboración propia, 2025.</w:t>
      </w:r>
    </w:p>
    <w:p w14:paraId="2194ED6B" w14:textId="77777777" w:rsidR="003406E6" w:rsidRPr="003013DE" w:rsidRDefault="00B36250">
      <w:pPr>
        <w:rPr>
          <w:rFonts w:ascii="Times New Roman" w:hAnsi="Times New Roman" w:cs="Times New Roman"/>
          <w:sz w:val="28"/>
          <w:szCs w:val="28"/>
          <w:lang w:val="es-ES"/>
        </w:rPr>
        <w:sectPr w:rsidR="003406E6" w:rsidRPr="003013DE" w:rsidSect="003406E6">
          <w:pgSz w:w="12240" w:h="15840"/>
          <w:pgMar w:top="1417" w:right="1701" w:bottom="1417" w:left="1701" w:header="708" w:footer="708" w:gutter="0"/>
          <w:cols w:space="708"/>
          <w:titlePg/>
          <w:docGrid w:linePitch="360"/>
        </w:sectPr>
      </w:pPr>
      <w:r w:rsidRPr="003013DE">
        <w:rPr>
          <w:rFonts w:ascii="Times New Roman" w:hAnsi="Times New Roman" w:cs="Times New Roman"/>
          <w:sz w:val="28"/>
          <w:szCs w:val="28"/>
          <w:lang w:val="es-ES"/>
        </w:rPr>
        <w:br w:type="page"/>
      </w:r>
    </w:p>
    <w:p w14:paraId="72ADEFEF" w14:textId="0C332812" w:rsidR="000013F5" w:rsidRPr="003013DE" w:rsidRDefault="000013F5">
      <w:pPr>
        <w:rPr>
          <w:rFonts w:ascii="Times New Roman" w:hAnsi="Times New Roman" w:cs="Times New Roman"/>
          <w:sz w:val="28"/>
          <w:szCs w:val="28"/>
          <w:lang w:val="es-ES"/>
        </w:rPr>
      </w:pPr>
    </w:p>
    <w:p w14:paraId="1F5ED831" w14:textId="77777777" w:rsidR="000013F5" w:rsidRPr="003013DE" w:rsidRDefault="000013F5" w:rsidP="000013F5">
      <w:pPr>
        <w:spacing w:line="360" w:lineRule="auto"/>
        <w:jc w:val="center"/>
        <w:rPr>
          <w:rFonts w:ascii="Times New Roman" w:hAnsi="Times New Roman" w:cs="Times New Roman"/>
          <w:b/>
          <w:sz w:val="32"/>
          <w:szCs w:val="32"/>
        </w:rPr>
      </w:pPr>
    </w:p>
    <w:p w14:paraId="3B301E1C" w14:textId="77777777" w:rsidR="000013F5" w:rsidRPr="003013DE" w:rsidRDefault="000013F5" w:rsidP="000013F5">
      <w:pPr>
        <w:spacing w:line="360" w:lineRule="auto"/>
        <w:jc w:val="center"/>
        <w:rPr>
          <w:rFonts w:ascii="Times New Roman" w:hAnsi="Times New Roman" w:cs="Times New Roman"/>
          <w:b/>
          <w:sz w:val="32"/>
          <w:szCs w:val="32"/>
        </w:rPr>
      </w:pPr>
    </w:p>
    <w:p w14:paraId="59530A7E" w14:textId="77777777" w:rsidR="000013F5" w:rsidRPr="003013DE" w:rsidRDefault="000013F5" w:rsidP="000013F5">
      <w:pPr>
        <w:spacing w:line="360" w:lineRule="auto"/>
        <w:jc w:val="center"/>
        <w:rPr>
          <w:rFonts w:ascii="Times New Roman" w:hAnsi="Times New Roman" w:cs="Times New Roman"/>
          <w:b/>
          <w:sz w:val="32"/>
          <w:szCs w:val="32"/>
        </w:rPr>
      </w:pPr>
    </w:p>
    <w:p w14:paraId="148EA45A" w14:textId="77777777" w:rsidR="000013F5" w:rsidRPr="003013DE" w:rsidRDefault="000013F5" w:rsidP="000013F5">
      <w:pPr>
        <w:spacing w:line="360" w:lineRule="auto"/>
        <w:jc w:val="center"/>
        <w:rPr>
          <w:rFonts w:ascii="Times New Roman" w:hAnsi="Times New Roman" w:cs="Times New Roman"/>
          <w:b/>
          <w:sz w:val="32"/>
          <w:szCs w:val="32"/>
        </w:rPr>
      </w:pPr>
    </w:p>
    <w:p w14:paraId="2941D5B2" w14:textId="77777777" w:rsidR="000013F5" w:rsidRPr="003013DE" w:rsidRDefault="000013F5" w:rsidP="000013F5">
      <w:pPr>
        <w:spacing w:line="360" w:lineRule="auto"/>
        <w:jc w:val="center"/>
        <w:rPr>
          <w:rFonts w:ascii="Times New Roman" w:hAnsi="Times New Roman" w:cs="Times New Roman"/>
          <w:b/>
          <w:sz w:val="32"/>
          <w:szCs w:val="32"/>
        </w:rPr>
      </w:pPr>
    </w:p>
    <w:p w14:paraId="3F233F1D" w14:textId="77777777" w:rsidR="000013F5" w:rsidRPr="003013DE" w:rsidRDefault="000013F5" w:rsidP="000013F5">
      <w:pPr>
        <w:spacing w:line="360" w:lineRule="auto"/>
        <w:jc w:val="center"/>
        <w:rPr>
          <w:rFonts w:ascii="Times New Roman" w:hAnsi="Times New Roman" w:cs="Times New Roman"/>
          <w:b/>
          <w:sz w:val="32"/>
          <w:szCs w:val="32"/>
        </w:rPr>
      </w:pPr>
    </w:p>
    <w:p w14:paraId="187FA3D5" w14:textId="77777777" w:rsidR="000013F5" w:rsidRPr="003013DE" w:rsidRDefault="000013F5" w:rsidP="000013F5">
      <w:pPr>
        <w:spacing w:line="360" w:lineRule="auto"/>
        <w:jc w:val="center"/>
        <w:rPr>
          <w:rFonts w:ascii="Times New Roman" w:hAnsi="Times New Roman" w:cs="Times New Roman"/>
          <w:b/>
          <w:sz w:val="32"/>
          <w:szCs w:val="32"/>
        </w:rPr>
      </w:pPr>
    </w:p>
    <w:p w14:paraId="2FF49241" w14:textId="144AFDCE" w:rsidR="000013F5" w:rsidRPr="003013DE" w:rsidRDefault="000013F5" w:rsidP="000013F5">
      <w:pPr>
        <w:spacing w:line="360" w:lineRule="auto"/>
        <w:jc w:val="center"/>
        <w:rPr>
          <w:rFonts w:ascii="Times New Roman" w:hAnsi="Times New Roman" w:cs="Times New Roman"/>
          <w:b/>
          <w:sz w:val="32"/>
          <w:szCs w:val="32"/>
        </w:rPr>
      </w:pPr>
    </w:p>
    <w:p w14:paraId="6D5C55AA" w14:textId="04530EEC" w:rsidR="000013F5" w:rsidRPr="003013DE" w:rsidRDefault="000013F5" w:rsidP="001D7450">
      <w:pPr>
        <w:pStyle w:val="Ttulo1"/>
        <w:jc w:val="center"/>
        <w:rPr>
          <w:rFonts w:cs="Times New Roman"/>
          <w:b w:val="0"/>
          <w:color w:val="auto"/>
          <w:spacing w:val="-2"/>
          <w:sz w:val="32"/>
        </w:rPr>
      </w:pPr>
      <w:bookmarkStart w:id="112" w:name="_Toc223177191"/>
      <w:r w:rsidRPr="003013DE">
        <w:rPr>
          <w:rFonts w:cs="Times New Roman"/>
          <w:color w:val="auto"/>
          <w:sz w:val="32"/>
        </w:rPr>
        <w:t>CAPÍTULO</w:t>
      </w:r>
      <w:r w:rsidRPr="003013DE">
        <w:rPr>
          <w:rFonts w:cs="Times New Roman"/>
          <w:color w:val="auto"/>
          <w:spacing w:val="-1"/>
          <w:sz w:val="32"/>
        </w:rPr>
        <w:t xml:space="preserve"> </w:t>
      </w:r>
      <w:r w:rsidRPr="003013DE">
        <w:rPr>
          <w:rFonts w:cs="Times New Roman"/>
          <w:color w:val="auto"/>
          <w:sz w:val="32"/>
        </w:rPr>
        <w:t>IV-</w:t>
      </w:r>
      <w:r w:rsidRPr="003013DE">
        <w:rPr>
          <w:rFonts w:cs="Times New Roman"/>
          <w:color w:val="auto"/>
          <w:spacing w:val="-1"/>
          <w:sz w:val="32"/>
        </w:rPr>
        <w:t xml:space="preserve"> </w:t>
      </w:r>
      <w:r w:rsidRPr="003013DE">
        <w:rPr>
          <w:rFonts w:cs="Times New Roman"/>
          <w:color w:val="auto"/>
          <w:spacing w:val="-2"/>
          <w:sz w:val="32"/>
        </w:rPr>
        <w:t>ANÁLISIS DE RESULTADOS</w:t>
      </w:r>
      <w:bookmarkEnd w:id="112"/>
    </w:p>
    <w:p w14:paraId="01702B1C" w14:textId="47328D90" w:rsidR="000013F5" w:rsidRPr="003013DE" w:rsidRDefault="000013F5" w:rsidP="000013F5">
      <w:pPr>
        <w:spacing w:line="360" w:lineRule="auto"/>
        <w:jc w:val="center"/>
        <w:rPr>
          <w:rFonts w:ascii="Times New Roman" w:hAnsi="Times New Roman" w:cs="Times New Roman"/>
          <w:b/>
          <w:spacing w:val="-2"/>
          <w:sz w:val="32"/>
          <w:szCs w:val="32"/>
        </w:rPr>
      </w:pPr>
    </w:p>
    <w:p w14:paraId="796DB696" w14:textId="010285AB" w:rsidR="000013F5" w:rsidRPr="003013DE" w:rsidRDefault="000013F5">
      <w:pPr>
        <w:rPr>
          <w:rFonts w:ascii="Times New Roman" w:hAnsi="Times New Roman" w:cs="Times New Roman"/>
          <w:b/>
          <w:spacing w:val="-2"/>
          <w:sz w:val="32"/>
          <w:szCs w:val="32"/>
        </w:rPr>
      </w:pPr>
      <w:r w:rsidRPr="003013DE">
        <w:rPr>
          <w:rFonts w:ascii="Times New Roman" w:hAnsi="Times New Roman" w:cs="Times New Roman"/>
          <w:b/>
          <w:spacing w:val="-2"/>
          <w:sz w:val="32"/>
          <w:szCs w:val="32"/>
        </w:rPr>
        <w:br w:type="page"/>
      </w:r>
    </w:p>
    <w:p w14:paraId="0EF0BD5F" w14:textId="77777777" w:rsidR="00F035A1" w:rsidRPr="003013DE" w:rsidRDefault="00482599" w:rsidP="001D7450">
      <w:pPr>
        <w:pStyle w:val="Textocomentario"/>
        <w:numPr>
          <w:ilvl w:val="1"/>
          <w:numId w:val="27"/>
        </w:numPr>
        <w:spacing w:line="360" w:lineRule="auto"/>
        <w:jc w:val="both"/>
        <w:outlineLvl w:val="0"/>
        <w:rPr>
          <w:rFonts w:ascii="Times New Roman" w:hAnsi="Times New Roman" w:cs="Times New Roman"/>
          <w:b/>
          <w:bCs/>
          <w:sz w:val="24"/>
          <w:szCs w:val="24"/>
          <w:lang w:val="es-ES"/>
        </w:rPr>
      </w:pPr>
      <w:bookmarkStart w:id="113" w:name="_Toc223177192"/>
      <w:r w:rsidRPr="003013DE">
        <w:rPr>
          <w:rFonts w:ascii="Times New Roman" w:eastAsia="Times New Roman" w:hAnsi="Times New Roman" w:cs="Times New Roman"/>
          <w:b/>
          <w:bCs/>
          <w:sz w:val="24"/>
          <w:szCs w:val="24"/>
          <w:lang w:eastAsia="es-ES"/>
        </w:rPr>
        <w:lastRenderedPageBreak/>
        <w:t>Objetivo 1. Describir los principales mecanismos del eje intestino–cerebros implicados en el desarrollo y progresión de enfermedades neurodegenerativas.</w:t>
      </w:r>
      <w:bookmarkEnd w:id="113"/>
    </w:p>
    <w:p w14:paraId="46423B53" w14:textId="1CCEFA39" w:rsidR="00F035A1" w:rsidRPr="003013DE" w:rsidRDefault="00F035A1" w:rsidP="001D7450">
      <w:pPr>
        <w:pStyle w:val="Textocomentario"/>
        <w:numPr>
          <w:ilvl w:val="2"/>
          <w:numId w:val="27"/>
        </w:numPr>
        <w:spacing w:line="360" w:lineRule="auto"/>
        <w:jc w:val="both"/>
        <w:outlineLvl w:val="1"/>
        <w:rPr>
          <w:rFonts w:ascii="Times New Roman" w:hAnsi="Times New Roman" w:cs="Times New Roman"/>
          <w:b/>
          <w:bCs/>
          <w:sz w:val="24"/>
          <w:szCs w:val="24"/>
          <w:lang w:val="es-ES"/>
        </w:rPr>
      </w:pPr>
      <w:bookmarkStart w:id="114" w:name="_Toc223177193"/>
      <w:r w:rsidRPr="003013DE">
        <w:rPr>
          <w:rFonts w:ascii="Times New Roman" w:eastAsia="Times New Roman" w:hAnsi="Times New Roman" w:cs="Times New Roman"/>
          <w:b/>
          <w:bCs/>
          <w:sz w:val="24"/>
          <w:szCs w:val="24"/>
          <w:lang w:eastAsia="es-ES"/>
        </w:rPr>
        <w:t>Disfunción de la barrera intestinal y activación inflamatoria sistémica en neurodegeneración</w:t>
      </w:r>
      <w:bookmarkEnd w:id="114"/>
    </w:p>
    <w:p w14:paraId="474F2AE3" w14:textId="6D33DB8C" w:rsidR="00F035A1" w:rsidRPr="003013DE" w:rsidRDefault="00F035A1" w:rsidP="0048435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Uno de los mecanismos más robustamente documentados que vinculan el eje microbiota–intestino–cerebro con el desarrollo y progresión de enfermedades neurodegenerativas es la alteración de la barrera intestinal, proceso conocido comúnmente como leaky gut. La barrera intestinal está compuesta por un epitelio monoestratificado unido por proteínas de estrecha unión (tight junctions), una capa de moco protectora y una completa interacción con el sistema inmunológico mucoso. Su integridad es esencial para impedir el paso indiscriminado de microorganismos, toxinas y metabolitos derivados de la microbiota hacia la circulación sistémica</w:t>
      </w:r>
      <w:r w:rsidR="007859C1" w:rsidRPr="003013DE">
        <w:rPr>
          <w:rFonts w:ascii="Times New Roman" w:eastAsiaTheme="minorEastAsia" w:hAnsi="Times New Roman" w:cs="Times New Roman"/>
          <w:sz w:val="24"/>
          <w:szCs w:val="24"/>
          <w:vertAlign w:val="superscript"/>
          <w:lang w:eastAsia="es-ES"/>
        </w:rPr>
        <w:t>81</w:t>
      </w:r>
      <w:r w:rsidRPr="003013DE">
        <w:rPr>
          <w:rFonts w:ascii="Times New Roman" w:eastAsiaTheme="minorEastAsia" w:hAnsi="Times New Roman" w:cs="Times New Roman"/>
          <w:sz w:val="24"/>
          <w:szCs w:val="24"/>
          <w:lang w:eastAsia="es-ES"/>
        </w:rPr>
        <w:t>.</w:t>
      </w:r>
    </w:p>
    <w:p w14:paraId="35991DDF" w14:textId="697D42AF" w:rsidR="00F035A1" w:rsidRPr="003013DE" w:rsidRDefault="00F035A1" w:rsidP="0048435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Cuando se produce disbiosis intestinal un desequilibrio cuantitativo o funcional de las especies microbianas se altera la producción de metabolitos beneficiosos (como los ácidos grasos de cadena corta) y se incrementan las bacterias productoras de endotoxinas como lipopolisacáridos (LPS). Este cambio conlleva a la degradación de las uniones estrechas epiteliales y a la reducción de proteínas clave como occludina, claudinas y zonulina, incrementando la permeabilidad intestinal. Tales alteraciones han sido documentadas en modelos animales y humanos con patologías neurodegenerativas, sugiriendo que la pérdida de integridad de la barrera intestinal es un fenómeno sistémico presente en estas enfermedades</w:t>
      </w:r>
      <w:r w:rsidR="007859C1" w:rsidRPr="003013DE">
        <w:rPr>
          <w:rFonts w:ascii="Times New Roman" w:eastAsiaTheme="minorEastAsia" w:hAnsi="Times New Roman" w:cs="Times New Roman"/>
          <w:sz w:val="24"/>
          <w:szCs w:val="24"/>
          <w:vertAlign w:val="superscript"/>
          <w:lang w:eastAsia="es-ES"/>
        </w:rPr>
        <w:t>81</w:t>
      </w:r>
      <w:r w:rsidRPr="003013DE">
        <w:rPr>
          <w:rFonts w:ascii="Times New Roman" w:eastAsiaTheme="minorEastAsia" w:hAnsi="Times New Roman" w:cs="Times New Roman"/>
          <w:sz w:val="24"/>
          <w:szCs w:val="24"/>
          <w:lang w:eastAsia="es-ES"/>
        </w:rPr>
        <w:t xml:space="preserve">.  </w:t>
      </w:r>
    </w:p>
    <w:p w14:paraId="191FD39D" w14:textId="373C144C" w:rsidR="00F035A1" w:rsidRPr="003013DE" w:rsidRDefault="00F035A1" w:rsidP="0048435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La consecuencia fisiopatológica más relevante de esta ruptura de la barrera es la translocación de productos microbianos especialmente LPS</w:t>
      </w:r>
      <w:r w:rsidR="0048435C"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al torrente sanguíneo, lo que desencadena una respuesta inmunitaria sistémica de bajo grado. LPS, componente de bacterias Gram-negativas, es reconocido por Toll-like receptor 4 (TLR4) en células inmunes, lo que induce la producción sostenida de citocinas proinflamatorias como TNF-α, IL-1β e IL-6. Este estado de inflamação sistémica no solo contribuye a la perpetuación de la disfunción intestinal sino que también actúa como un disparador de señales inflamatorias que pueden comprometer estructuras distantes, incluido el sistema nervioso central (SNC)</w:t>
      </w:r>
      <w:r w:rsidR="00184F23" w:rsidRPr="003013DE">
        <w:rPr>
          <w:rFonts w:ascii="Times New Roman" w:eastAsiaTheme="minorEastAsia" w:hAnsi="Times New Roman" w:cs="Times New Roman"/>
          <w:sz w:val="24"/>
          <w:szCs w:val="24"/>
          <w:vertAlign w:val="superscript"/>
          <w:lang w:eastAsia="es-ES"/>
        </w:rPr>
        <w:t>82</w:t>
      </w:r>
      <w:r w:rsidR="00184F23" w:rsidRPr="003013DE">
        <w:rPr>
          <w:rFonts w:ascii="Times New Roman" w:eastAsiaTheme="minorEastAsia" w:hAnsi="Times New Roman" w:cs="Times New Roman"/>
          <w:sz w:val="24"/>
          <w:szCs w:val="24"/>
          <w:lang w:eastAsia="es-ES"/>
        </w:rPr>
        <w:t>.</w:t>
      </w:r>
      <w:r w:rsidRPr="003013DE">
        <w:rPr>
          <w:rFonts w:ascii="Times New Roman" w:eastAsiaTheme="minorEastAsia" w:hAnsi="Times New Roman" w:cs="Times New Roman"/>
          <w:sz w:val="24"/>
          <w:szCs w:val="24"/>
          <w:lang w:eastAsia="es-ES"/>
        </w:rPr>
        <w:t xml:space="preserve">  </w:t>
      </w:r>
    </w:p>
    <w:p w14:paraId="01A8823A" w14:textId="3176C41D" w:rsidR="00F035A1" w:rsidRPr="003013DE" w:rsidRDefault="00F035A1" w:rsidP="0048435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lastRenderedPageBreak/>
        <w:t>La inflamación sistémica, promovida por los productos microbianos circulantes, tiene importantes implicancias en la progresión de enfermedades neurodegenerativas. En la enfermedad de Alzheimer (EA), por ejemplo, evidencia reciente indica que los niveles elevados de zonulina (un regulador de uniones estrechas) y de endotoxinas circulantes se correlacionan con mayor deterioro cognitivo y con progresión hacia Alzheimer clínico desde estados prodrómicos de deterioro cognitivo leve. Estos hallazgos sugieren que la disfunción de la barrera podría preceder y facilitar los procesos neuropatológicos clásicos de la EA, como la acumulación de β-amiloide y la activación microglial</w:t>
      </w:r>
      <w:r w:rsidR="00184F23" w:rsidRPr="003013DE">
        <w:rPr>
          <w:rFonts w:ascii="Times New Roman" w:eastAsiaTheme="minorEastAsia" w:hAnsi="Times New Roman" w:cs="Times New Roman"/>
          <w:sz w:val="24"/>
          <w:szCs w:val="24"/>
          <w:vertAlign w:val="superscript"/>
          <w:lang w:eastAsia="es-ES"/>
        </w:rPr>
        <w:t>82</w:t>
      </w:r>
      <w:r w:rsidRPr="003013DE">
        <w:rPr>
          <w:rFonts w:ascii="Times New Roman" w:eastAsiaTheme="minorEastAsia" w:hAnsi="Times New Roman" w:cs="Times New Roman"/>
          <w:sz w:val="24"/>
          <w:szCs w:val="24"/>
          <w:lang w:eastAsia="es-ES"/>
        </w:rPr>
        <w:t xml:space="preserve">.  </w:t>
      </w:r>
    </w:p>
    <w:p w14:paraId="50918358" w14:textId="34EFE40C" w:rsidR="00F035A1" w:rsidRPr="003013DE" w:rsidRDefault="00F035A1" w:rsidP="0048435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la enfermedad de Parkinson (EP), la evidencia indica que la disbiosis intestinal y la consiguiente permeabilidad aumentada del epitelio pueden preceder a los síntomas motores clásicos por años o incluso décadas. Estudios en pacientes con EP han identificado alteraciones significativas en la microbiota intestinal asociadas con cambios funcionales en el epitelio intestinal y con reportes de daño mucoso que se correlacionan con un mayor riesgo de desarrollar Parkinson a largo plazo. La presencia de LPS en la circulación sistémica no solo activa la respuesta inmune periférica, sino que también favorece la entrada de mediadores inflamatorios al SNC, contribuyendo a la neuroinflamación y al daño de las neuronas dopaminérgicas</w:t>
      </w:r>
      <w:r w:rsidR="00184F23" w:rsidRPr="003013DE">
        <w:rPr>
          <w:rFonts w:ascii="Times New Roman" w:eastAsiaTheme="minorEastAsia" w:hAnsi="Times New Roman" w:cs="Times New Roman"/>
          <w:sz w:val="24"/>
          <w:szCs w:val="24"/>
          <w:vertAlign w:val="superscript"/>
          <w:lang w:eastAsia="es-ES"/>
        </w:rPr>
        <w:t>81.82</w:t>
      </w:r>
      <w:r w:rsidRPr="003013DE">
        <w:rPr>
          <w:rFonts w:ascii="Times New Roman" w:eastAsiaTheme="minorEastAsia" w:hAnsi="Times New Roman" w:cs="Times New Roman"/>
          <w:sz w:val="24"/>
          <w:szCs w:val="24"/>
          <w:lang w:eastAsia="es-ES"/>
        </w:rPr>
        <w:t xml:space="preserve">.  </w:t>
      </w:r>
    </w:p>
    <w:p w14:paraId="7968AA78" w14:textId="133FB285" w:rsidR="00F035A1" w:rsidRPr="003013DE" w:rsidRDefault="00F035A1" w:rsidP="0048435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La importancia de este mecanismo de permeabilidad aumenta al considerar que la barrera intestinal y la barrera hematoencefálica (BHE) comparten características funcionales similares, dependientes de proteínas de estrecha unión. La evidencia sugiere que la inflamación sistémica sostenida y la presencia de endotoxinas circulantes pueden conducir a una disrupción concomitante de la BHE, facilitando la entrada de moléculas proinflamatorias y productos microbianos a la cavidad cerebral. Este doble impacto</w:t>
      </w:r>
      <w:r w:rsidR="0048435C"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intestinal y cerebral crea un ambiente proclive para la activación microglial, la perpetuación de la neuroinflamación y la progresión de degeneración neuronal en múltiples enfermedades neurodegenerativas</w:t>
      </w:r>
      <w:r w:rsidR="00184F23" w:rsidRPr="003013DE">
        <w:rPr>
          <w:rFonts w:ascii="Times New Roman" w:eastAsiaTheme="minorEastAsia" w:hAnsi="Times New Roman" w:cs="Times New Roman"/>
          <w:sz w:val="24"/>
          <w:szCs w:val="24"/>
          <w:vertAlign w:val="superscript"/>
          <w:lang w:eastAsia="es-ES"/>
        </w:rPr>
        <w:t>81,82</w:t>
      </w:r>
      <w:r w:rsidRPr="003013DE">
        <w:rPr>
          <w:rFonts w:ascii="Times New Roman" w:eastAsiaTheme="minorEastAsia" w:hAnsi="Times New Roman" w:cs="Times New Roman"/>
          <w:sz w:val="24"/>
          <w:szCs w:val="24"/>
          <w:lang w:eastAsia="es-ES"/>
        </w:rPr>
        <w:t xml:space="preserve">.  </w:t>
      </w:r>
    </w:p>
    <w:p w14:paraId="7E9FFE5E" w14:textId="1EA01B59" w:rsidR="00F035A1" w:rsidRPr="003013DE" w:rsidRDefault="00ED3F1A" w:rsidP="0048435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relación a todo lo anterior</w:t>
      </w:r>
      <w:r w:rsidR="00F035A1" w:rsidRPr="003013DE">
        <w:rPr>
          <w:rFonts w:ascii="Times New Roman" w:eastAsiaTheme="minorEastAsia" w:hAnsi="Times New Roman" w:cs="Times New Roman"/>
          <w:sz w:val="24"/>
          <w:szCs w:val="24"/>
          <w:lang w:eastAsia="es-ES"/>
        </w:rPr>
        <w:t xml:space="preserve">, la disfunción de la barrera intestinal no solo representa un fenómeno periférico aislado, sino que actúa como un importante amplificador de señales proinflamatorias sistémicas que pueden desencadenar y perpetuar procesos neurodegenerativos. Este proceso de leaky gut, mediado por disbiosis y activación de </w:t>
      </w:r>
      <w:r w:rsidR="00F035A1" w:rsidRPr="003013DE">
        <w:rPr>
          <w:rFonts w:ascii="Times New Roman" w:eastAsiaTheme="minorEastAsia" w:hAnsi="Times New Roman" w:cs="Times New Roman"/>
          <w:sz w:val="24"/>
          <w:szCs w:val="24"/>
          <w:lang w:eastAsia="es-ES"/>
        </w:rPr>
        <w:lastRenderedPageBreak/>
        <w:t>patrones de reconocimiento inmunológico como TLR4, destaca la interconexión entre salud intestinal e integridad cerebral, subrayando que la modulación de la microbiota y de la barrera intestinal podría constituir un objetivo terapéutico promisorio para retardar o atenuar el avance de enfermedades neurodegenerativas.</w:t>
      </w:r>
    </w:p>
    <w:p w14:paraId="424E050E" w14:textId="0FF5F87C" w:rsidR="00A22505" w:rsidRPr="003013DE" w:rsidRDefault="00102A11" w:rsidP="001D7450">
      <w:pPr>
        <w:pStyle w:val="Ttulo2"/>
        <w:rPr>
          <w:rFonts w:ascii="Times New Roman" w:eastAsiaTheme="minorEastAsia" w:hAnsi="Times New Roman" w:cs="Times New Roman"/>
          <w:b/>
          <w:bCs/>
          <w:color w:val="auto"/>
          <w:sz w:val="24"/>
          <w:szCs w:val="24"/>
          <w:lang w:eastAsia="es-ES"/>
        </w:rPr>
      </w:pPr>
      <w:r w:rsidRPr="003013DE">
        <w:rPr>
          <w:rFonts w:ascii="Times New Roman" w:eastAsiaTheme="minorEastAsia" w:hAnsi="Times New Roman" w:cs="Times New Roman"/>
          <w:b/>
          <w:bCs/>
          <w:color w:val="auto"/>
          <w:sz w:val="24"/>
          <w:szCs w:val="24"/>
          <w:lang w:eastAsia="es-ES"/>
        </w:rPr>
        <w:t xml:space="preserve"> </w:t>
      </w:r>
      <w:bookmarkStart w:id="115" w:name="_Toc223177194"/>
      <w:r w:rsidR="00A22505" w:rsidRPr="003013DE">
        <w:rPr>
          <w:rFonts w:ascii="Times New Roman" w:eastAsiaTheme="minorEastAsia" w:hAnsi="Times New Roman" w:cs="Times New Roman"/>
          <w:b/>
          <w:bCs/>
          <w:color w:val="auto"/>
          <w:sz w:val="24"/>
          <w:szCs w:val="24"/>
          <w:lang w:eastAsia="es-ES"/>
        </w:rPr>
        <w:t>4.1.2 Activación microglial y neuroinflamación crónica mediada por el eje intestino–cerebro</w:t>
      </w:r>
      <w:bookmarkEnd w:id="115"/>
    </w:p>
    <w:p w14:paraId="0D4BF7F4" w14:textId="601C2E64" w:rsidR="00A22505" w:rsidRPr="003013DE" w:rsidRDefault="00A22505" w:rsidP="00C256E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La activación microglial sostenida constituye uno de los mecanismos fisiopatológicos más relevantes identificados en los estudios analizados que vinculan la disbiosis intestinal con el desarrollo y progresión de enfermedades neurodegenerativas. La microglía, como principal célula inmunitaria residente del sistema nervioso central (SNC), desempeña un papel dual: por un lado, contribuye a la homeostasis cerebral y a la defensa frente a patógenos; por otro, cuando su activación se vuelve persistente y desregulada, promueve un entorno neurotóxico que favorece la degeneración neuronal</w:t>
      </w:r>
      <w:r w:rsidR="00421D19" w:rsidRPr="003013DE">
        <w:rPr>
          <w:rFonts w:ascii="Times New Roman" w:eastAsiaTheme="minorEastAsia" w:hAnsi="Times New Roman" w:cs="Times New Roman"/>
          <w:sz w:val="24"/>
          <w:szCs w:val="24"/>
          <w:vertAlign w:val="superscript"/>
          <w:lang w:eastAsia="es-ES"/>
        </w:rPr>
        <w:t>83</w:t>
      </w:r>
      <w:r w:rsidRPr="003013DE">
        <w:rPr>
          <w:rFonts w:ascii="Times New Roman" w:eastAsiaTheme="minorEastAsia" w:hAnsi="Times New Roman" w:cs="Times New Roman"/>
          <w:sz w:val="24"/>
          <w:szCs w:val="24"/>
          <w:lang w:eastAsia="es-ES"/>
        </w:rPr>
        <w:t>.</w:t>
      </w:r>
    </w:p>
    <w:p w14:paraId="3673F35B" w14:textId="0DDB57B6" w:rsidR="00A22505" w:rsidRPr="003013DE" w:rsidRDefault="00A22505" w:rsidP="00A22505">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resultados de la revisión muestran que los productos derivados del microbiota intestinal alterado especialmente lipopolisacáridos (LPS), citocinas periféricas y metabolitos proinflamatorios actúan como señales de activación microglial indirecta, incluso en ausencia de infección directa del SNC. Este fenómeno se ve potenciado por la disrupción concomitante de la barrera intestinal y de la barrera hematoencefálica, permitiendo la entrada de mediadores inflamatorios hacia el parénquima cerebral.</w:t>
      </w:r>
    </w:p>
    <w:p w14:paraId="13C62378" w14:textId="362669A4" w:rsidR="00A22505" w:rsidRPr="003013DE" w:rsidRDefault="00B053D8" w:rsidP="001D7450">
      <w:pPr>
        <w:pStyle w:val="Ttulo3"/>
        <w:rPr>
          <w:rFonts w:ascii="Times New Roman" w:eastAsiaTheme="minorEastAsia" w:hAnsi="Times New Roman" w:cs="Times New Roman"/>
          <w:b/>
          <w:bCs/>
          <w:color w:val="auto"/>
          <w:sz w:val="24"/>
          <w:szCs w:val="24"/>
          <w:lang w:eastAsia="es-ES"/>
        </w:rPr>
      </w:pPr>
      <w:bookmarkStart w:id="116" w:name="_Toc223177195"/>
      <w:r w:rsidRPr="003013DE">
        <w:rPr>
          <w:rFonts w:ascii="Times New Roman" w:eastAsiaTheme="minorEastAsia" w:hAnsi="Times New Roman" w:cs="Times New Roman"/>
          <w:b/>
          <w:bCs/>
          <w:color w:val="auto"/>
          <w:sz w:val="24"/>
          <w:szCs w:val="24"/>
          <w:lang w:eastAsia="es-ES"/>
        </w:rPr>
        <w:t xml:space="preserve">4.1.2.1 </w:t>
      </w:r>
      <w:r w:rsidR="00A22505" w:rsidRPr="003013DE">
        <w:rPr>
          <w:rFonts w:ascii="Times New Roman" w:eastAsiaTheme="minorEastAsia" w:hAnsi="Times New Roman" w:cs="Times New Roman"/>
          <w:b/>
          <w:bCs/>
          <w:color w:val="auto"/>
          <w:sz w:val="24"/>
          <w:szCs w:val="24"/>
          <w:lang w:eastAsia="es-ES"/>
        </w:rPr>
        <w:t>Activación microglial inducida por inflamación sistémica</w:t>
      </w:r>
      <w:bookmarkEnd w:id="116"/>
    </w:p>
    <w:p w14:paraId="71942FCF" w14:textId="148180BF" w:rsidR="00A22505" w:rsidRPr="003013DE" w:rsidRDefault="00A22505" w:rsidP="00B053D8">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estudios incluidos evidencian que la inflamación sistémica crónica de bajo grado, inducida por disbiosis intestinal, es capaz de activar microglía a través de mecanismos dependientes de receptores de reconocimiento de patrones, principalmente Toll-like receptors (TLR). En particular, el LPS circulante interactúa con TLR4 expresado tanto en células endoteliales cerebrales como en microglía, desencadenando cascadas de señalización proinflamatoria mediadas por NF-κB</w:t>
      </w:r>
      <w:r w:rsidR="00421D19" w:rsidRPr="003013DE">
        <w:rPr>
          <w:rFonts w:ascii="Times New Roman" w:eastAsiaTheme="minorEastAsia" w:hAnsi="Times New Roman" w:cs="Times New Roman"/>
          <w:sz w:val="24"/>
          <w:szCs w:val="24"/>
          <w:vertAlign w:val="superscript"/>
          <w:lang w:eastAsia="es-ES"/>
        </w:rPr>
        <w:t>60</w:t>
      </w:r>
      <w:r w:rsidRPr="003013DE">
        <w:rPr>
          <w:rFonts w:ascii="Times New Roman" w:eastAsiaTheme="minorEastAsia" w:hAnsi="Times New Roman" w:cs="Times New Roman"/>
          <w:sz w:val="24"/>
          <w:szCs w:val="24"/>
          <w:lang w:eastAsia="es-ES"/>
        </w:rPr>
        <w:t>.</w:t>
      </w:r>
    </w:p>
    <w:p w14:paraId="67826D38" w14:textId="52EE7E69" w:rsidR="00B053D8" w:rsidRPr="003013DE" w:rsidRDefault="00A22505" w:rsidP="00B053D8">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Como resultado, la microglía adopta un fenotipo proinflamatorio (M1) caracterizado por la liberación de citocinas como TNF-α, IL-1β e IL-6, así como especies reactivas de </w:t>
      </w:r>
      <w:r w:rsidRPr="003013DE">
        <w:rPr>
          <w:rFonts w:ascii="Times New Roman" w:eastAsiaTheme="minorEastAsia" w:hAnsi="Times New Roman" w:cs="Times New Roman"/>
          <w:sz w:val="24"/>
          <w:szCs w:val="24"/>
          <w:lang w:eastAsia="es-ES"/>
        </w:rPr>
        <w:lastRenderedPageBreak/>
        <w:t>oxígeno y nitrógeno. Estos mediadores generan un microambiente hostil para las neuronas, alterando la transmisión sináptica y favoreciendo la muerte neuronal progresiva. Este patrón ha sido ampliamente documentado en modelos animales de enfermedad de Alzheimer y Parkinson, así como en estudios post mortem en humanos</w:t>
      </w:r>
      <w:r w:rsidR="00421D19" w:rsidRPr="003013DE">
        <w:rPr>
          <w:rFonts w:ascii="Times New Roman" w:eastAsiaTheme="minorEastAsia" w:hAnsi="Times New Roman" w:cs="Times New Roman"/>
          <w:sz w:val="24"/>
          <w:szCs w:val="24"/>
          <w:vertAlign w:val="superscript"/>
          <w:lang w:eastAsia="es-ES"/>
        </w:rPr>
        <w:t>60</w:t>
      </w:r>
      <w:r w:rsidRPr="003013DE">
        <w:rPr>
          <w:rFonts w:ascii="Times New Roman" w:eastAsiaTheme="minorEastAsia" w:hAnsi="Times New Roman" w:cs="Times New Roman"/>
          <w:sz w:val="24"/>
          <w:szCs w:val="24"/>
          <w:lang w:eastAsia="es-ES"/>
        </w:rPr>
        <w:t>.</w:t>
      </w:r>
    </w:p>
    <w:p w14:paraId="2E471214" w14:textId="0148873B" w:rsidR="00A22505" w:rsidRPr="003013DE" w:rsidRDefault="00B053D8" w:rsidP="001D7450">
      <w:pPr>
        <w:pStyle w:val="Ttulo3"/>
        <w:rPr>
          <w:rFonts w:ascii="Times New Roman" w:eastAsiaTheme="minorEastAsia" w:hAnsi="Times New Roman" w:cs="Times New Roman"/>
          <w:b/>
          <w:bCs/>
          <w:color w:val="auto"/>
          <w:sz w:val="24"/>
          <w:szCs w:val="24"/>
          <w:lang w:eastAsia="es-ES"/>
        </w:rPr>
      </w:pPr>
      <w:bookmarkStart w:id="117" w:name="_Toc223177196"/>
      <w:r w:rsidRPr="003013DE">
        <w:rPr>
          <w:rFonts w:ascii="Times New Roman" w:eastAsiaTheme="minorEastAsia" w:hAnsi="Times New Roman" w:cs="Times New Roman"/>
          <w:b/>
          <w:bCs/>
          <w:color w:val="auto"/>
          <w:sz w:val="24"/>
          <w:szCs w:val="24"/>
          <w:lang w:eastAsia="es-ES"/>
        </w:rPr>
        <w:t xml:space="preserve">4.1.2.2 </w:t>
      </w:r>
      <w:r w:rsidR="00A22505" w:rsidRPr="003013DE">
        <w:rPr>
          <w:rFonts w:ascii="Times New Roman" w:eastAsiaTheme="minorEastAsia" w:hAnsi="Times New Roman" w:cs="Times New Roman"/>
          <w:b/>
          <w:bCs/>
          <w:color w:val="auto"/>
          <w:sz w:val="24"/>
          <w:szCs w:val="24"/>
          <w:lang w:eastAsia="es-ES"/>
        </w:rPr>
        <w:t>Microglía, β-amiloide y α-sinucleína: un ciclo de retroalimentación patológica</w:t>
      </w:r>
      <w:bookmarkEnd w:id="117"/>
    </w:p>
    <w:p w14:paraId="06ACAE26" w14:textId="08AA0EA4" w:rsidR="00A22505" w:rsidRPr="003013DE" w:rsidRDefault="00A22505" w:rsidP="00B053D8">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la enfermedad de Alzheimer, los estudios analizados muestran que la activación microglial inducida por disbiosis intestinal se asocia con una mayor acumulación de placas de β-amiloide. La microglía activada pierde progresivamente su capacidad fagocítica eficiente y, en lugar de eliminar β-amiloide, contribuye a su depósito mediante la secreción de mediadores inflamatorios que favorecen su agregación</w:t>
      </w:r>
      <w:r w:rsidR="00F35BFF" w:rsidRPr="003013DE">
        <w:rPr>
          <w:rFonts w:ascii="Times New Roman" w:eastAsiaTheme="minorEastAsia" w:hAnsi="Times New Roman" w:cs="Times New Roman"/>
          <w:sz w:val="24"/>
          <w:szCs w:val="24"/>
          <w:vertAlign w:val="superscript"/>
          <w:lang w:eastAsia="es-ES"/>
        </w:rPr>
        <w:t>84</w:t>
      </w:r>
      <w:r w:rsidRPr="003013DE">
        <w:rPr>
          <w:rFonts w:ascii="Times New Roman" w:eastAsiaTheme="minorEastAsia" w:hAnsi="Times New Roman" w:cs="Times New Roman"/>
          <w:sz w:val="24"/>
          <w:szCs w:val="24"/>
          <w:lang w:eastAsia="es-ES"/>
        </w:rPr>
        <w:t>.</w:t>
      </w:r>
    </w:p>
    <w:p w14:paraId="7641A79E" w14:textId="49F66B2A" w:rsidR="00A22505" w:rsidRPr="003013DE" w:rsidRDefault="00A22505" w:rsidP="00B053D8">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De forma similar, en la enfermedad de Parkinson, la neuroinflamación mediada por microglía se relaciona con la propagación de agregados de α-sinucleína. Estudios experimentales han demostrado que la exposición crónica a LPS intestinal aumenta la expresión y agregación de α-sinucleína tanto en el sistema nervioso entérico como en el SNC, facilitando su propagación a través de vías neuronales</w:t>
      </w:r>
      <w:r w:rsidR="00F35BFF" w:rsidRPr="003013DE">
        <w:rPr>
          <w:rFonts w:ascii="Times New Roman" w:eastAsiaTheme="minorEastAsia" w:hAnsi="Times New Roman" w:cs="Times New Roman"/>
          <w:sz w:val="24"/>
          <w:szCs w:val="24"/>
          <w:vertAlign w:val="superscript"/>
          <w:lang w:eastAsia="es-ES"/>
        </w:rPr>
        <w:t>84</w:t>
      </w:r>
      <w:r w:rsidRPr="003013DE">
        <w:rPr>
          <w:rFonts w:ascii="Times New Roman" w:eastAsiaTheme="minorEastAsia" w:hAnsi="Times New Roman" w:cs="Times New Roman"/>
          <w:sz w:val="24"/>
          <w:szCs w:val="24"/>
          <w:lang w:eastAsia="es-ES"/>
        </w:rPr>
        <w:t>.</w:t>
      </w:r>
    </w:p>
    <w:p w14:paraId="4FC844D2" w14:textId="77777777" w:rsidR="00A22505" w:rsidRPr="003013DE" w:rsidRDefault="00A22505" w:rsidP="00A22505">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Estos hallazgos sugieren que la microglía actúa como un amplificador central de la señal patológica iniciada en el intestino. Una vez activada, establece un ciclo de retroalimentación positiva en el que la neuroinflamación favorece la acumulación proteica patológica, y esta, a su vez, perpetúa la activación microglial.</w:t>
      </w:r>
    </w:p>
    <w:p w14:paraId="0ABEEBA6" w14:textId="39AB6C08" w:rsidR="00A22505" w:rsidRPr="003013DE" w:rsidRDefault="00B053D8" w:rsidP="001D7450">
      <w:pPr>
        <w:pStyle w:val="Ttulo3"/>
        <w:rPr>
          <w:rFonts w:ascii="Times New Roman" w:eastAsiaTheme="minorEastAsia" w:hAnsi="Times New Roman" w:cs="Times New Roman"/>
          <w:b/>
          <w:bCs/>
          <w:color w:val="auto"/>
          <w:sz w:val="24"/>
          <w:szCs w:val="24"/>
          <w:lang w:eastAsia="es-ES"/>
        </w:rPr>
      </w:pPr>
      <w:bookmarkStart w:id="118" w:name="_Toc223177197"/>
      <w:r w:rsidRPr="003013DE">
        <w:rPr>
          <w:rFonts w:ascii="Times New Roman" w:eastAsiaTheme="minorEastAsia" w:hAnsi="Times New Roman" w:cs="Times New Roman"/>
          <w:b/>
          <w:bCs/>
          <w:color w:val="auto"/>
          <w:sz w:val="24"/>
          <w:szCs w:val="24"/>
          <w:lang w:eastAsia="es-ES"/>
        </w:rPr>
        <w:t xml:space="preserve">4.1.2.3 </w:t>
      </w:r>
      <w:r w:rsidR="00A22505" w:rsidRPr="003013DE">
        <w:rPr>
          <w:rFonts w:ascii="Times New Roman" w:eastAsiaTheme="minorEastAsia" w:hAnsi="Times New Roman" w:cs="Times New Roman"/>
          <w:b/>
          <w:bCs/>
          <w:color w:val="auto"/>
          <w:sz w:val="24"/>
          <w:szCs w:val="24"/>
          <w:lang w:eastAsia="es-ES"/>
        </w:rPr>
        <w:t>Influencia del microbiota en la maduración y reactividad microglial</w:t>
      </w:r>
      <w:bookmarkEnd w:id="118"/>
    </w:p>
    <w:p w14:paraId="3A42ECDB" w14:textId="190932D4" w:rsidR="00A22505" w:rsidRPr="003013DE" w:rsidRDefault="00A22505" w:rsidP="00B7344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Un resultado particularmente relevante identificado en estudios experimentales es que el microbiota intestinal no solo modula la activación microglial patológica, sino que también es esencial para su maduración y función normal. Modelos animales libres de gérmenes (germ-free) presentan microglía inmadura, con respuestas alteradas ante estímulos inflamatorios.</w:t>
      </w:r>
      <w:r w:rsidR="00B73440"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 xml:space="preserve">La restauración parcial del microbiota o la administración de ácidos grasos de cadena corta (especialmente butirato) normaliza la morfología y funcionalidad microglial. Esto demuestra que la disbiosis intestinal no solo induce hiperactivación microglial, sino que </w:t>
      </w:r>
      <w:r w:rsidRPr="003013DE">
        <w:rPr>
          <w:rFonts w:ascii="Times New Roman" w:eastAsiaTheme="minorEastAsia" w:hAnsi="Times New Roman" w:cs="Times New Roman"/>
          <w:sz w:val="24"/>
          <w:szCs w:val="24"/>
          <w:lang w:eastAsia="es-ES"/>
        </w:rPr>
        <w:lastRenderedPageBreak/>
        <w:t>altera su programación basal, haciéndola más susceptible a estímulos inflamatorios secundarios</w:t>
      </w:r>
      <w:r w:rsidR="00B73440" w:rsidRPr="003013DE">
        <w:rPr>
          <w:rFonts w:ascii="Times New Roman" w:eastAsiaTheme="minorEastAsia" w:hAnsi="Times New Roman" w:cs="Times New Roman"/>
          <w:sz w:val="24"/>
          <w:szCs w:val="24"/>
          <w:vertAlign w:val="superscript"/>
          <w:lang w:eastAsia="es-ES"/>
        </w:rPr>
        <w:t>84</w:t>
      </w:r>
      <w:r w:rsidRPr="003013DE">
        <w:rPr>
          <w:rFonts w:ascii="Times New Roman" w:eastAsiaTheme="minorEastAsia" w:hAnsi="Times New Roman" w:cs="Times New Roman"/>
          <w:sz w:val="24"/>
          <w:szCs w:val="24"/>
          <w:lang w:eastAsia="es-ES"/>
        </w:rPr>
        <w:t>.</w:t>
      </w:r>
    </w:p>
    <w:p w14:paraId="34856A78" w14:textId="60C39AFA" w:rsidR="00A22505" w:rsidRPr="003013DE" w:rsidRDefault="00AC4CF6" w:rsidP="00A22505">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Lo anterior, es relevante </w:t>
      </w:r>
      <w:r w:rsidR="00A22505" w:rsidRPr="003013DE">
        <w:rPr>
          <w:rFonts w:ascii="Times New Roman" w:eastAsiaTheme="minorEastAsia" w:hAnsi="Times New Roman" w:cs="Times New Roman"/>
          <w:sz w:val="24"/>
          <w:szCs w:val="24"/>
          <w:lang w:eastAsia="es-ES"/>
        </w:rPr>
        <w:t>porque indica que la disbiosis puede predisponer al SNC a una respuesta inflamatoria exagerada incluso antes de la aparición de daño neuronal evidente. En términos de progresión de la enfermedad, esto posiciona a la alteración microbiana como un factor de vulnerabilidad temprana.</w:t>
      </w:r>
    </w:p>
    <w:p w14:paraId="3A804D99" w14:textId="67A5575B" w:rsidR="00A22505" w:rsidRPr="003013DE" w:rsidRDefault="00AC4CF6" w:rsidP="001D7450">
      <w:pPr>
        <w:pStyle w:val="Ttulo3"/>
        <w:rPr>
          <w:rFonts w:ascii="Times New Roman" w:eastAsiaTheme="minorEastAsia" w:hAnsi="Times New Roman" w:cs="Times New Roman"/>
          <w:b/>
          <w:bCs/>
          <w:color w:val="auto"/>
          <w:sz w:val="24"/>
          <w:szCs w:val="24"/>
          <w:lang w:eastAsia="es-ES"/>
        </w:rPr>
      </w:pPr>
      <w:bookmarkStart w:id="119" w:name="_Toc223177198"/>
      <w:r w:rsidRPr="003013DE">
        <w:rPr>
          <w:rFonts w:ascii="Times New Roman" w:eastAsiaTheme="minorEastAsia" w:hAnsi="Times New Roman" w:cs="Times New Roman"/>
          <w:b/>
          <w:bCs/>
          <w:color w:val="auto"/>
          <w:sz w:val="24"/>
          <w:szCs w:val="24"/>
          <w:lang w:eastAsia="es-ES"/>
        </w:rPr>
        <w:t xml:space="preserve">4.1.2.4 </w:t>
      </w:r>
      <w:r w:rsidR="00A22505" w:rsidRPr="003013DE">
        <w:rPr>
          <w:rFonts w:ascii="Times New Roman" w:eastAsiaTheme="minorEastAsia" w:hAnsi="Times New Roman" w:cs="Times New Roman"/>
          <w:b/>
          <w:bCs/>
          <w:color w:val="auto"/>
          <w:sz w:val="24"/>
          <w:szCs w:val="24"/>
          <w:lang w:eastAsia="es-ES"/>
        </w:rPr>
        <w:t>Microglía y envejecimiento: sinergia con la disbiosis intestinal</w:t>
      </w:r>
      <w:bookmarkEnd w:id="119"/>
    </w:p>
    <w:p w14:paraId="05398CC7" w14:textId="28DB33F4" w:rsidR="00A22505" w:rsidRPr="003013DE" w:rsidRDefault="00A22505" w:rsidP="00CF0BAF">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resultados también muestran que el envejecimiento potencia los efectos de la disbiosis intestinal sobre la activación microglial. En individuos de edad avanzada se observa una mayor permeabilidad intestinal, menor diversidad microbiana y un estado basal de inflamación sistémica (inflammaging).</w:t>
      </w:r>
      <w:r w:rsidR="00CF0BAF"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Esta combinación favorece una microglía crónicamente activada, con menor capacidad de resolución inflamatoria. En este contexto, la disbiosis intestinal actúa como un factor acelerador del deterioro neurodegenerativo, explicando parcialmente por qué estas enfermedades aumentan exponencialmente con la edad</w:t>
      </w:r>
      <w:r w:rsidR="00CF0BAF" w:rsidRPr="003013DE">
        <w:rPr>
          <w:rFonts w:ascii="Times New Roman" w:eastAsiaTheme="minorEastAsia" w:hAnsi="Times New Roman" w:cs="Times New Roman"/>
          <w:sz w:val="24"/>
          <w:szCs w:val="24"/>
          <w:vertAlign w:val="superscript"/>
          <w:lang w:eastAsia="es-ES"/>
        </w:rPr>
        <w:t>82,83</w:t>
      </w:r>
      <w:r w:rsidRPr="003013DE">
        <w:rPr>
          <w:rFonts w:ascii="Times New Roman" w:eastAsiaTheme="minorEastAsia" w:hAnsi="Times New Roman" w:cs="Times New Roman"/>
          <w:sz w:val="24"/>
          <w:szCs w:val="24"/>
          <w:lang w:eastAsia="es-ES"/>
        </w:rPr>
        <w:t>.</w:t>
      </w:r>
    </w:p>
    <w:p w14:paraId="6301B7FC" w14:textId="5BA82DD6" w:rsidR="008C4934" w:rsidRPr="003013DE" w:rsidRDefault="00A22505" w:rsidP="00083DD7">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Los resultados analizados confirman que la activación microglial inducida por señales inflamatorias derivadas del intestino es un mecanismo central en la neurodegeneración. </w:t>
      </w:r>
      <w:r w:rsidR="000A144E"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Estos hallazgos consolidan el papel del eje intestino–cerebro como un sistema integrador donde la microglía actúa como punto de convergencia entre inflamación periférica y degeneración central.</w:t>
      </w:r>
    </w:p>
    <w:p w14:paraId="2B7A43C2" w14:textId="77777777" w:rsidR="00E869FB" w:rsidRPr="003013DE" w:rsidRDefault="00E869FB" w:rsidP="001D7450">
      <w:pPr>
        <w:pStyle w:val="Ttulo2"/>
        <w:rPr>
          <w:rFonts w:ascii="Times New Roman" w:eastAsiaTheme="minorEastAsia" w:hAnsi="Times New Roman" w:cs="Times New Roman"/>
          <w:b/>
          <w:bCs/>
          <w:color w:val="auto"/>
          <w:sz w:val="24"/>
          <w:szCs w:val="24"/>
          <w:lang w:eastAsia="es-ES"/>
        </w:rPr>
      </w:pPr>
      <w:bookmarkStart w:id="120" w:name="_Toc223177199"/>
      <w:r w:rsidRPr="003013DE">
        <w:rPr>
          <w:rFonts w:ascii="Times New Roman" w:eastAsiaTheme="minorEastAsia" w:hAnsi="Times New Roman" w:cs="Times New Roman"/>
          <w:b/>
          <w:bCs/>
          <w:color w:val="auto"/>
          <w:sz w:val="24"/>
          <w:szCs w:val="24"/>
          <w:lang w:eastAsia="es-ES"/>
        </w:rPr>
        <w:t>4.1.3 Alteración de metabolitos microbianos y su impacto neurobiológico en enfermedades neurodegenerativas</w:t>
      </w:r>
      <w:bookmarkEnd w:id="120"/>
    </w:p>
    <w:p w14:paraId="0A2DA1CD" w14:textId="4299EA88" w:rsidR="007B0E96" w:rsidRPr="003013DE" w:rsidRDefault="00E869FB" w:rsidP="007B0E9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análisis de los estudios incluidos permitió identificar que la alteración en la producción de metabolitos derivados del microbiota intestinal constituye uno de los mecanismos más relevantes mediante los cuales el eje intestino–cerebro contribuye al desarrollo y progresión de las enfermedades neurodegenerativas. Estos metabolitos actúan como mediadores funcionales capaces de modular procesos inmunológicos, endocrinos y neuronales, influyendo directamente en la homeostasis del sistema nervioso central</w:t>
      </w:r>
      <w:r w:rsidR="00CA36A4" w:rsidRPr="003013DE">
        <w:rPr>
          <w:rFonts w:ascii="Times New Roman" w:eastAsiaTheme="minorEastAsia" w:hAnsi="Times New Roman" w:cs="Times New Roman"/>
          <w:sz w:val="24"/>
          <w:szCs w:val="24"/>
          <w:vertAlign w:val="superscript"/>
          <w:lang w:eastAsia="es-ES"/>
        </w:rPr>
        <w:t>34</w:t>
      </w:r>
      <w:r w:rsidRPr="003013DE">
        <w:rPr>
          <w:rFonts w:ascii="Times New Roman" w:eastAsiaTheme="minorEastAsia" w:hAnsi="Times New Roman" w:cs="Times New Roman"/>
          <w:sz w:val="24"/>
          <w:szCs w:val="24"/>
          <w:lang w:eastAsia="es-ES"/>
        </w:rPr>
        <w:t>.</w:t>
      </w:r>
    </w:p>
    <w:p w14:paraId="492B1D11" w14:textId="64B10C26" w:rsidR="00E869FB" w:rsidRPr="003013DE" w:rsidRDefault="00E869FB" w:rsidP="007B0E9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lastRenderedPageBreak/>
        <w:t>Entre los metabolitos más ampliamente descritos se encuentran los ácidos grasos de cadena corta (AGCC), los metabolitos del triptófano y diversos compuestos con actividad neurotransmisora, cuya producción depende de la composición y funcionalidad del microbiota intestinal. Los resultados muestran que la disbiosis intestinal se asocia con un perfil metabólico alterado que favorece la inflamación, la disfunción sináptica y la vulnerabilidad neuronal</w:t>
      </w:r>
      <w:r w:rsidR="00CA36A4" w:rsidRPr="003013DE">
        <w:rPr>
          <w:rFonts w:ascii="Times New Roman" w:eastAsiaTheme="minorEastAsia" w:hAnsi="Times New Roman" w:cs="Times New Roman"/>
          <w:sz w:val="24"/>
          <w:szCs w:val="24"/>
          <w:vertAlign w:val="superscript"/>
          <w:lang w:eastAsia="es-ES"/>
        </w:rPr>
        <w:t>34</w:t>
      </w:r>
      <w:r w:rsidRPr="003013DE">
        <w:rPr>
          <w:rFonts w:ascii="Times New Roman" w:eastAsiaTheme="minorEastAsia" w:hAnsi="Times New Roman" w:cs="Times New Roman"/>
          <w:sz w:val="24"/>
          <w:szCs w:val="24"/>
          <w:lang w:eastAsia="es-ES"/>
        </w:rPr>
        <w:t>.</w:t>
      </w:r>
    </w:p>
    <w:p w14:paraId="74121D69" w14:textId="3ABAAF97" w:rsidR="00E869FB" w:rsidRPr="003013DE" w:rsidRDefault="007B0E96" w:rsidP="001D7450">
      <w:pPr>
        <w:pStyle w:val="Ttulo3"/>
        <w:rPr>
          <w:rFonts w:ascii="Times New Roman" w:eastAsiaTheme="minorEastAsia" w:hAnsi="Times New Roman" w:cs="Times New Roman"/>
          <w:b/>
          <w:bCs/>
          <w:color w:val="auto"/>
          <w:sz w:val="24"/>
          <w:szCs w:val="24"/>
          <w:lang w:eastAsia="es-ES"/>
        </w:rPr>
      </w:pPr>
      <w:bookmarkStart w:id="121" w:name="_Toc223177200"/>
      <w:r w:rsidRPr="003013DE">
        <w:rPr>
          <w:rFonts w:ascii="Times New Roman" w:eastAsiaTheme="minorEastAsia" w:hAnsi="Times New Roman" w:cs="Times New Roman"/>
          <w:b/>
          <w:bCs/>
          <w:color w:val="auto"/>
          <w:sz w:val="24"/>
          <w:szCs w:val="24"/>
          <w:lang w:eastAsia="es-ES"/>
        </w:rPr>
        <w:t>4.1.</w:t>
      </w:r>
      <w:r w:rsidR="00361DB3" w:rsidRPr="003013DE">
        <w:rPr>
          <w:rFonts w:ascii="Times New Roman" w:eastAsiaTheme="minorEastAsia" w:hAnsi="Times New Roman" w:cs="Times New Roman"/>
          <w:b/>
          <w:bCs/>
          <w:color w:val="auto"/>
          <w:sz w:val="24"/>
          <w:szCs w:val="24"/>
          <w:lang w:eastAsia="es-ES"/>
        </w:rPr>
        <w:t xml:space="preserve">3.1 </w:t>
      </w:r>
      <w:r w:rsidR="00E869FB" w:rsidRPr="003013DE">
        <w:rPr>
          <w:rFonts w:ascii="Times New Roman" w:eastAsiaTheme="minorEastAsia" w:hAnsi="Times New Roman" w:cs="Times New Roman"/>
          <w:b/>
          <w:bCs/>
          <w:color w:val="auto"/>
          <w:sz w:val="24"/>
          <w:szCs w:val="24"/>
          <w:lang w:eastAsia="es-ES"/>
        </w:rPr>
        <w:t>Ácidos grasos de cadena corta y neuroprotección</w:t>
      </w:r>
      <w:bookmarkEnd w:id="121"/>
    </w:p>
    <w:p w14:paraId="104000BA" w14:textId="6AB8B2BB" w:rsidR="00361DB3" w:rsidRPr="003013DE" w:rsidRDefault="00E869FB" w:rsidP="00361DB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AGCC, principalmente acetato, propionato y butirato, son productos de la fermentación bacteriana de la fibra dietética y desempeñan un papel clave en la regulación del eje intestino–cerebro. Los estudios analizados coinciden en que pacientes con enfermedades neurodegenerativas presentan una reducción significativa de bacterias productoras de butirato, como Faecalibacterium prausnitzii y Roseburia</w:t>
      </w:r>
      <w:r w:rsidR="00CA36A4" w:rsidRPr="003013DE">
        <w:rPr>
          <w:rFonts w:ascii="Times New Roman" w:eastAsiaTheme="minorEastAsia" w:hAnsi="Times New Roman" w:cs="Times New Roman"/>
          <w:sz w:val="24"/>
          <w:szCs w:val="24"/>
          <w:vertAlign w:val="superscript"/>
          <w:lang w:eastAsia="es-ES"/>
        </w:rPr>
        <w:t>86</w:t>
      </w:r>
      <w:r w:rsidRPr="003013DE">
        <w:rPr>
          <w:rFonts w:ascii="Times New Roman" w:eastAsiaTheme="minorEastAsia" w:hAnsi="Times New Roman" w:cs="Times New Roman"/>
          <w:sz w:val="24"/>
          <w:szCs w:val="24"/>
          <w:lang w:eastAsia="es-ES"/>
        </w:rPr>
        <w:t>.</w:t>
      </w:r>
    </w:p>
    <w:p w14:paraId="5917A37A" w14:textId="02F20FE9" w:rsidR="00DE4F4F" w:rsidRPr="003013DE" w:rsidRDefault="00E869FB" w:rsidP="00DE4F4F">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butirato ejerce efectos neuroprotectores mediante múltiples mecanismos: refuerza la integridad de la barrera intestinal, modula la respuesta inmunológica periférica, actúa como inhibidor de histona desacetilasas (HDAC) y favorece la expresión de genes asociados con la supervivencia neuronal. Además, se ha demostrado que los AGCC pueden atravesar la barrera hematoencefálica y modular directamente la función microglial</w:t>
      </w:r>
      <w:r w:rsidR="00CA36A4" w:rsidRPr="003013DE">
        <w:rPr>
          <w:rFonts w:ascii="Times New Roman" w:eastAsiaTheme="minorEastAsia" w:hAnsi="Times New Roman" w:cs="Times New Roman"/>
          <w:sz w:val="24"/>
          <w:szCs w:val="24"/>
          <w:vertAlign w:val="superscript"/>
          <w:lang w:eastAsia="es-ES"/>
        </w:rPr>
        <w:t>86</w:t>
      </w:r>
      <w:r w:rsidRPr="003013DE">
        <w:rPr>
          <w:rFonts w:ascii="Times New Roman" w:eastAsiaTheme="minorEastAsia" w:hAnsi="Times New Roman" w:cs="Times New Roman"/>
          <w:sz w:val="24"/>
          <w:szCs w:val="24"/>
          <w:lang w:eastAsia="es-ES"/>
        </w:rPr>
        <w:t>.</w:t>
      </w:r>
    </w:p>
    <w:p w14:paraId="0E0A060E" w14:textId="42406BF4" w:rsidR="00DE4F4F" w:rsidRPr="003013DE" w:rsidRDefault="00E869FB" w:rsidP="00DE4F4F">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La disminución de AGCC observada en Alzheimer, Parkinson y esclerosis múltiple sugiere una pérdida de señales antiinflamatorias clave para el SNC. Este hallazgo refuerza la hipótesis de que la disbiosis no solo genera metabolitos nocivos, sino que priva al cerebro de compuestos esenciales para la regulación epigenética, inmunológica y sináptica</w:t>
      </w:r>
      <w:r w:rsidR="00CA36A4" w:rsidRPr="003013DE">
        <w:rPr>
          <w:rFonts w:ascii="Times New Roman" w:eastAsiaTheme="minorEastAsia" w:hAnsi="Times New Roman" w:cs="Times New Roman"/>
          <w:sz w:val="24"/>
          <w:szCs w:val="24"/>
          <w:vertAlign w:val="superscript"/>
          <w:lang w:eastAsia="es-ES"/>
        </w:rPr>
        <w:t>86</w:t>
      </w:r>
      <w:r w:rsidRPr="003013DE">
        <w:rPr>
          <w:rFonts w:ascii="Times New Roman" w:eastAsiaTheme="minorEastAsia" w:hAnsi="Times New Roman" w:cs="Times New Roman"/>
          <w:sz w:val="24"/>
          <w:szCs w:val="24"/>
          <w:lang w:eastAsia="es-ES"/>
        </w:rPr>
        <w:t>.</w:t>
      </w:r>
    </w:p>
    <w:p w14:paraId="13F06EA1" w14:textId="6A408626" w:rsidR="00E869FB" w:rsidRPr="003013DE" w:rsidRDefault="00DE4F4F" w:rsidP="001D7450">
      <w:pPr>
        <w:pStyle w:val="Ttulo3"/>
        <w:rPr>
          <w:rFonts w:ascii="Times New Roman" w:eastAsiaTheme="minorEastAsia" w:hAnsi="Times New Roman" w:cs="Times New Roman"/>
          <w:b/>
          <w:bCs/>
          <w:color w:val="auto"/>
          <w:sz w:val="24"/>
          <w:szCs w:val="24"/>
          <w:lang w:eastAsia="es-ES"/>
        </w:rPr>
      </w:pPr>
      <w:bookmarkStart w:id="122" w:name="_Toc223177201"/>
      <w:r w:rsidRPr="003013DE">
        <w:rPr>
          <w:rFonts w:ascii="Times New Roman" w:eastAsiaTheme="minorEastAsia" w:hAnsi="Times New Roman" w:cs="Times New Roman"/>
          <w:b/>
          <w:bCs/>
          <w:color w:val="auto"/>
          <w:sz w:val="24"/>
          <w:szCs w:val="24"/>
          <w:lang w:eastAsia="es-ES"/>
        </w:rPr>
        <w:t xml:space="preserve">4.1.3.2 </w:t>
      </w:r>
      <w:r w:rsidR="00E869FB" w:rsidRPr="003013DE">
        <w:rPr>
          <w:rFonts w:ascii="Times New Roman" w:eastAsiaTheme="minorEastAsia" w:hAnsi="Times New Roman" w:cs="Times New Roman"/>
          <w:b/>
          <w:bCs/>
          <w:color w:val="auto"/>
          <w:sz w:val="24"/>
          <w:szCs w:val="24"/>
          <w:lang w:eastAsia="es-ES"/>
        </w:rPr>
        <w:t>Alteración del metabolismo del triptófano</w:t>
      </w:r>
      <w:bookmarkEnd w:id="122"/>
    </w:p>
    <w:p w14:paraId="5F69DE12" w14:textId="3BCED4EE" w:rsidR="007E104F" w:rsidRPr="003013DE" w:rsidRDefault="00E869FB" w:rsidP="007E104F">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Otro resultado consistente fue la disregulación del metabolismo del triptófano, aminoácido esencial precursor de serotonina y otros metabolitos neuroactivos. En condiciones de homeostasis, el microbiota intestinal regula el equilibrio entre la producción de serotonina, indoles y metabolitos de la vía de la quinurenina</w:t>
      </w:r>
      <w:r w:rsidR="00CA36A4" w:rsidRPr="003013DE">
        <w:rPr>
          <w:rFonts w:ascii="Times New Roman" w:eastAsiaTheme="minorEastAsia" w:hAnsi="Times New Roman" w:cs="Times New Roman"/>
          <w:sz w:val="24"/>
          <w:szCs w:val="24"/>
          <w:vertAlign w:val="superscript"/>
          <w:lang w:eastAsia="es-ES"/>
        </w:rPr>
        <w:t>60</w:t>
      </w:r>
      <w:r w:rsidRPr="003013DE">
        <w:rPr>
          <w:rFonts w:ascii="Times New Roman" w:eastAsiaTheme="minorEastAsia" w:hAnsi="Times New Roman" w:cs="Times New Roman"/>
          <w:sz w:val="24"/>
          <w:szCs w:val="24"/>
          <w:lang w:eastAsia="es-ES"/>
        </w:rPr>
        <w:t>.</w:t>
      </w:r>
    </w:p>
    <w:p w14:paraId="2F066269" w14:textId="05358CC2" w:rsidR="007E104F" w:rsidRPr="003013DE" w:rsidRDefault="00E869FB" w:rsidP="007E104F">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lastRenderedPageBreak/>
        <w:t>Los estudios revisados muestran que la disbiosis intestinal favorece una desviación del metabolismo del triptófano hacia la vía de la quinurenina, incrementando la producción de metabolitos neurotóxicos como el ácido quinolínico, conocido por su capacidad excitotóxica sobre neuronas glutamatérgicas. Este fenómeno ha sido documentado en pacientes con Alzheimer y Parkinson, así como en modelos animales de neurodegeneración</w:t>
      </w:r>
      <w:r w:rsidR="00CA36A4" w:rsidRPr="003013DE">
        <w:rPr>
          <w:rFonts w:ascii="Times New Roman" w:eastAsiaTheme="minorEastAsia" w:hAnsi="Times New Roman" w:cs="Times New Roman"/>
          <w:sz w:val="24"/>
          <w:szCs w:val="24"/>
          <w:vertAlign w:val="superscript"/>
          <w:lang w:eastAsia="es-ES"/>
        </w:rPr>
        <w:t>60</w:t>
      </w:r>
      <w:r w:rsidRPr="003013DE">
        <w:rPr>
          <w:rFonts w:ascii="Times New Roman" w:eastAsiaTheme="minorEastAsia" w:hAnsi="Times New Roman" w:cs="Times New Roman"/>
          <w:sz w:val="24"/>
          <w:szCs w:val="24"/>
          <w:lang w:eastAsia="es-ES"/>
        </w:rPr>
        <w:t>.</w:t>
      </w:r>
    </w:p>
    <w:p w14:paraId="6546DAAE" w14:textId="45678281" w:rsidR="00E869FB" w:rsidRPr="003013DE" w:rsidRDefault="00E869FB" w:rsidP="007E104F">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Estos resultados sugieren que la alteración microbiana contribuye a un desequilibrio neuroquímico sistémico, en el que disminuyen los metabolitos con efectos neuroprotectores y aumentan los compuestos con potencial neurotóxico. La participación del microbiota en este proceso posiciona al metabolismo del triptófano como un punto clave de intervención terapéutica.</w:t>
      </w:r>
    </w:p>
    <w:p w14:paraId="5840BBAB" w14:textId="37D54DAE" w:rsidR="00E869FB" w:rsidRPr="003013DE" w:rsidRDefault="00C170F0" w:rsidP="001D7450">
      <w:pPr>
        <w:pStyle w:val="Ttulo3"/>
        <w:rPr>
          <w:rFonts w:ascii="Times New Roman" w:eastAsiaTheme="minorEastAsia" w:hAnsi="Times New Roman" w:cs="Times New Roman"/>
          <w:b/>
          <w:bCs/>
          <w:color w:val="auto"/>
          <w:sz w:val="24"/>
          <w:szCs w:val="24"/>
          <w:lang w:eastAsia="es-ES"/>
        </w:rPr>
      </w:pPr>
      <w:bookmarkStart w:id="123" w:name="_Toc223177202"/>
      <w:r w:rsidRPr="003013DE">
        <w:rPr>
          <w:rFonts w:ascii="Times New Roman" w:eastAsiaTheme="minorEastAsia" w:hAnsi="Times New Roman" w:cs="Times New Roman"/>
          <w:b/>
          <w:bCs/>
          <w:color w:val="auto"/>
          <w:sz w:val="24"/>
          <w:szCs w:val="24"/>
          <w:lang w:eastAsia="es-ES"/>
        </w:rPr>
        <w:t xml:space="preserve">4.1.3.3 </w:t>
      </w:r>
      <w:r w:rsidR="00E869FB" w:rsidRPr="003013DE">
        <w:rPr>
          <w:rFonts w:ascii="Times New Roman" w:eastAsiaTheme="minorEastAsia" w:hAnsi="Times New Roman" w:cs="Times New Roman"/>
          <w:b/>
          <w:bCs/>
          <w:color w:val="auto"/>
          <w:sz w:val="24"/>
          <w:szCs w:val="24"/>
          <w:lang w:eastAsia="es-ES"/>
        </w:rPr>
        <w:t>Producción microbiana de neurotransmisores y neuromoduladores</w:t>
      </w:r>
      <w:bookmarkEnd w:id="123"/>
    </w:p>
    <w:p w14:paraId="036B2335" w14:textId="3FDD80FE" w:rsidR="00C170F0" w:rsidRPr="003013DE" w:rsidRDefault="00E869FB" w:rsidP="00C170F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estudios analizados evidencian que diversas bacterias intestinales son capaces de producir neurotransmisores o sus precursores, incluyendo ácido γ-aminobutírico (GABA), dopamina, noradrenalina y serotonina. Aunque la mayoría de estos compuestos no atraviesan directamente la barrera hematoencefálica, influyen en la función cerebral a través de la modulación del sistema nervioso entérico, el nervio vago y la señalización inmunológica</w:t>
      </w:r>
      <w:r w:rsidR="00CA36A4" w:rsidRPr="003013DE">
        <w:rPr>
          <w:rFonts w:ascii="Times New Roman" w:eastAsiaTheme="minorEastAsia" w:hAnsi="Times New Roman" w:cs="Times New Roman"/>
          <w:sz w:val="24"/>
          <w:szCs w:val="24"/>
          <w:vertAlign w:val="superscript"/>
          <w:lang w:eastAsia="es-ES"/>
        </w:rPr>
        <w:t>87</w:t>
      </w:r>
      <w:r w:rsidRPr="003013DE">
        <w:rPr>
          <w:rFonts w:ascii="Times New Roman" w:eastAsiaTheme="minorEastAsia" w:hAnsi="Times New Roman" w:cs="Times New Roman"/>
          <w:sz w:val="24"/>
          <w:szCs w:val="24"/>
          <w:lang w:eastAsia="es-ES"/>
        </w:rPr>
        <w:t>.</w:t>
      </w:r>
    </w:p>
    <w:p w14:paraId="73233DE2" w14:textId="3A69DFC9" w:rsidR="00C170F0" w:rsidRPr="003013DE" w:rsidRDefault="00E869FB" w:rsidP="00C170F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enfermedades neurodegenerativas, la disbiosis intestinal se asocia con una disminución de la capacidad del microbiota para sintetizar neuromoduladores, lo que contribuye a alteraciones del estado de ánimo, la cognición y la respuesta al estrés. En Parkinson, por ejemplo, la reducción de bacterias productoras de dopamina se ha vinculado con la disfunción del sistema dopaminérgico central</w:t>
      </w:r>
      <w:r w:rsidR="008C54BB" w:rsidRPr="003013DE">
        <w:rPr>
          <w:rFonts w:ascii="Times New Roman" w:eastAsiaTheme="minorEastAsia" w:hAnsi="Times New Roman" w:cs="Times New Roman"/>
          <w:sz w:val="24"/>
          <w:szCs w:val="24"/>
          <w:vertAlign w:val="superscript"/>
          <w:lang w:eastAsia="es-ES"/>
        </w:rPr>
        <w:t>87</w:t>
      </w:r>
      <w:r w:rsidRPr="003013DE">
        <w:rPr>
          <w:rFonts w:ascii="Times New Roman" w:eastAsiaTheme="minorEastAsia" w:hAnsi="Times New Roman" w:cs="Times New Roman"/>
          <w:sz w:val="24"/>
          <w:szCs w:val="24"/>
          <w:lang w:eastAsia="es-ES"/>
        </w:rPr>
        <w:t>.</w:t>
      </w:r>
    </w:p>
    <w:p w14:paraId="76AF3227" w14:textId="773CD0CD" w:rsidR="00E869FB" w:rsidRPr="003013DE" w:rsidRDefault="00E869FB" w:rsidP="00C170F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Estos hallazgos refuerzan el concepto de que el microbiota intestinal actúa como un órgano neuroendocrino funcional, cuya alteración impacta indirectamente la neurotransmisión cerebral. La pérdida de esta función reguladora contribuye a la progresión de síntomas motores, cognitivos y emocionales.</w:t>
      </w:r>
    </w:p>
    <w:p w14:paraId="28D13536" w14:textId="3A81F705" w:rsidR="00E869FB" w:rsidRPr="003013DE" w:rsidRDefault="00113831" w:rsidP="001D7450">
      <w:pPr>
        <w:pStyle w:val="Ttulo3"/>
        <w:rPr>
          <w:rFonts w:ascii="Times New Roman" w:eastAsiaTheme="minorEastAsia" w:hAnsi="Times New Roman" w:cs="Times New Roman"/>
          <w:b/>
          <w:bCs/>
          <w:color w:val="auto"/>
          <w:sz w:val="24"/>
          <w:szCs w:val="24"/>
          <w:lang w:eastAsia="es-ES"/>
        </w:rPr>
      </w:pPr>
      <w:bookmarkStart w:id="124" w:name="_Toc223177203"/>
      <w:r w:rsidRPr="003013DE">
        <w:rPr>
          <w:rFonts w:ascii="Times New Roman" w:eastAsiaTheme="minorEastAsia" w:hAnsi="Times New Roman" w:cs="Times New Roman"/>
          <w:b/>
          <w:bCs/>
          <w:color w:val="auto"/>
          <w:sz w:val="24"/>
          <w:szCs w:val="24"/>
          <w:lang w:eastAsia="es-ES"/>
        </w:rPr>
        <w:lastRenderedPageBreak/>
        <w:t xml:space="preserve">4.1.3.4 </w:t>
      </w:r>
      <w:r w:rsidR="00E869FB" w:rsidRPr="003013DE">
        <w:rPr>
          <w:rFonts w:ascii="Times New Roman" w:eastAsiaTheme="minorEastAsia" w:hAnsi="Times New Roman" w:cs="Times New Roman"/>
          <w:b/>
          <w:bCs/>
          <w:color w:val="auto"/>
          <w:sz w:val="24"/>
          <w:szCs w:val="24"/>
          <w:lang w:eastAsia="es-ES"/>
        </w:rPr>
        <w:t>Metabolitos microbianos proinflamatorios y neurotoxicidad</w:t>
      </w:r>
      <w:bookmarkEnd w:id="124"/>
    </w:p>
    <w:p w14:paraId="1392ADF6" w14:textId="3EBF623D" w:rsidR="00113831" w:rsidRPr="003013DE" w:rsidRDefault="00E869FB" w:rsidP="00113831">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Además de la disminución de metabolitos beneficiosos, los resultados muestran un aumento de compuestos proinflamatorios derivados del microbiota, como aminas biogénicas, metabolitos del ácido biliar secundario y endotoxinas bacterianas. Estos compuestos favorecen la activación microglial y la disfunción mitocondrial neuronal.</w:t>
      </w:r>
      <w:r w:rsidR="00113831"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En estudios experimentales, la exposición crónica a estos metabolitos se asocia con estrés oxidativo, alteración de la plasticidad sináptica y muerte neuronal progresiva, consolidando su papel como mediadores del daño neurodegenerativo</w:t>
      </w:r>
      <w:r w:rsidR="008C54BB" w:rsidRPr="003013DE">
        <w:rPr>
          <w:rFonts w:ascii="Times New Roman" w:eastAsiaTheme="minorEastAsia" w:hAnsi="Times New Roman" w:cs="Times New Roman"/>
          <w:sz w:val="24"/>
          <w:szCs w:val="24"/>
          <w:vertAlign w:val="superscript"/>
          <w:lang w:eastAsia="es-ES"/>
        </w:rPr>
        <w:t>88</w:t>
      </w:r>
      <w:r w:rsidRPr="003013DE">
        <w:rPr>
          <w:rFonts w:ascii="Times New Roman" w:eastAsiaTheme="minorEastAsia" w:hAnsi="Times New Roman" w:cs="Times New Roman"/>
          <w:sz w:val="24"/>
          <w:szCs w:val="24"/>
          <w:lang w:eastAsia="es-ES"/>
        </w:rPr>
        <w:t>.</w:t>
      </w:r>
    </w:p>
    <w:p w14:paraId="37E2AC61" w14:textId="5DCBD5A8" w:rsidR="00E869FB" w:rsidRPr="003013DE" w:rsidRDefault="00E869FB" w:rsidP="001E590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conjunto, los resultados confirman que la disbiosis intestinal altera profundamente el perfil metabólico microbiano, generando un entorno sistémico desfavorable para la función cerebral. La reducción de AGCC, la alteración del metabolismo del triptófano y la pérdida de neuromodulación microbiana contribuyen de manera sinérgica a la neuroinflamación, la disfunción sináptica y la degeneración neuronal.</w:t>
      </w:r>
      <w:r w:rsidR="001E5903"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Estos hallazgos posicionan a los metabolitos microbianos como biomarcadores funcionales y como objetivos terapéuticos clave en la prevención y manejo de las enfermedades neurodegenerativas.</w:t>
      </w:r>
    </w:p>
    <w:p w14:paraId="0954DFF1" w14:textId="0D59271B" w:rsidR="00083DD7" w:rsidRPr="003013DE" w:rsidRDefault="001E5903" w:rsidP="001D7450">
      <w:pPr>
        <w:pStyle w:val="Ttulo2"/>
        <w:rPr>
          <w:rFonts w:ascii="Times New Roman" w:eastAsiaTheme="minorEastAsia" w:hAnsi="Times New Roman" w:cs="Times New Roman"/>
          <w:b/>
          <w:bCs/>
          <w:color w:val="auto"/>
          <w:sz w:val="24"/>
          <w:szCs w:val="24"/>
          <w:lang w:eastAsia="es-ES"/>
        </w:rPr>
      </w:pPr>
      <w:bookmarkStart w:id="125" w:name="_Toc223177204"/>
      <w:r w:rsidRPr="003013DE">
        <w:rPr>
          <w:rFonts w:ascii="Times New Roman" w:eastAsiaTheme="minorEastAsia" w:hAnsi="Times New Roman" w:cs="Times New Roman"/>
          <w:b/>
          <w:bCs/>
          <w:color w:val="auto"/>
          <w:sz w:val="24"/>
          <w:szCs w:val="24"/>
          <w:lang w:eastAsia="es-ES"/>
        </w:rPr>
        <w:t>4.1.4</w:t>
      </w:r>
      <w:r w:rsidR="00102A11" w:rsidRPr="003013DE">
        <w:rPr>
          <w:rFonts w:ascii="Times New Roman" w:eastAsiaTheme="minorEastAsia" w:hAnsi="Times New Roman" w:cs="Times New Roman"/>
          <w:b/>
          <w:bCs/>
          <w:color w:val="auto"/>
          <w:sz w:val="24"/>
          <w:szCs w:val="24"/>
          <w:lang w:eastAsia="es-ES"/>
        </w:rPr>
        <w:t xml:space="preserve"> Vía </w:t>
      </w:r>
      <w:r w:rsidR="00083DD7" w:rsidRPr="003013DE">
        <w:rPr>
          <w:rFonts w:ascii="Times New Roman" w:eastAsiaTheme="minorEastAsia" w:hAnsi="Times New Roman" w:cs="Times New Roman"/>
          <w:b/>
          <w:bCs/>
          <w:color w:val="auto"/>
          <w:sz w:val="24"/>
          <w:szCs w:val="24"/>
          <w:lang w:eastAsia="es-ES"/>
        </w:rPr>
        <w:t>neural del eje intestino–cerebro: papel del nervio vago y propagación de señales patológicas</w:t>
      </w:r>
      <w:bookmarkEnd w:id="125"/>
    </w:p>
    <w:p w14:paraId="17BCC63A" w14:textId="60EF259B" w:rsidR="00083DD7" w:rsidRPr="003013DE" w:rsidRDefault="00083DD7" w:rsidP="00102A11">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análisis de los estudios incluidos permitió identificar que la vía neural, particularmente a través del nervio vago, constituye uno de los mecanismos más directos y funcionalmente relevantes del eje intestino–cerebro implicados en la fisiopatología de las enfermedades neurodegenerativas. A diferencia de las vías inmunológicas y metabólicas, la señalización neural permite una comunicación rápida y bidireccional entre el sistema nervioso entérico y el sistema nervioso central, facilitando tanto la transmisión de señales homeostáticas como la propagación de procesos patológicos</w:t>
      </w:r>
      <w:r w:rsidR="008C54BB" w:rsidRPr="003013DE">
        <w:rPr>
          <w:rFonts w:ascii="Times New Roman" w:eastAsiaTheme="minorEastAsia" w:hAnsi="Times New Roman" w:cs="Times New Roman"/>
          <w:sz w:val="24"/>
          <w:szCs w:val="24"/>
          <w:vertAlign w:val="superscript"/>
          <w:lang w:eastAsia="es-ES"/>
        </w:rPr>
        <w:t>89</w:t>
      </w:r>
      <w:r w:rsidRPr="003013DE">
        <w:rPr>
          <w:rFonts w:ascii="Times New Roman" w:eastAsiaTheme="minorEastAsia" w:hAnsi="Times New Roman" w:cs="Times New Roman"/>
          <w:sz w:val="24"/>
          <w:szCs w:val="24"/>
          <w:lang w:eastAsia="es-ES"/>
        </w:rPr>
        <w:t>.</w:t>
      </w:r>
    </w:p>
    <w:p w14:paraId="400D5EC2" w14:textId="063528F4" w:rsidR="00083DD7" w:rsidRPr="003013DE" w:rsidRDefault="00083DD7" w:rsidP="00083DD7">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Los resultados muestran que el nervio vago actúa como un canal anatómico y funcional mediante el cual estímulos derivados del microbiota intestinal incluyendo metabolitos, señales inflamatorias y proteínas mal plegadas pueden influir en la actividad cerebral. Este mecanismo ha sido particularmente estudiado en la enfermedad de Parkinson, </w:t>
      </w:r>
      <w:r w:rsidRPr="003013DE">
        <w:rPr>
          <w:rFonts w:ascii="Times New Roman" w:eastAsiaTheme="minorEastAsia" w:hAnsi="Times New Roman" w:cs="Times New Roman"/>
          <w:sz w:val="24"/>
          <w:szCs w:val="24"/>
          <w:lang w:eastAsia="es-ES"/>
        </w:rPr>
        <w:lastRenderedPageBreak/>
        <w:t>aunque evidencia emergente sugiere su participación también en Alzheimer y otros trastornos neurodegenerativos.</w:t>
      </w:r>
    </w:p>
    <w:p w14:paraId="3297AA3C" w14:textId="32CA5F96" w:rsidR="00083DD7" w:rsidRPr="003013DE" w:rsidRDefault="00102A11" w:rsidP="001D7450">
      <w:pPr>
        <w:pStyle w:val="Ttulo3"/>
        <w:rPr>
          <w:rFonts w:ascii="Times New Roman" w:eastAsiaTheme="minorEastAsia" w:hAnsi="Times New Roman" w:cs="Times New Roman"/>
          <w:b/>
          <w:bCs/>
          <w:color w:val="auto"/>
          <w:sz w:val="24"/>
          <w:szCs w:val="24"/>
          <w:lang w:eastAsia="es-ES"/>
        </w:rPr>
      </w:pPr>
      <w:bookmarkStart w:id="126" w:name="_Toc223177205"/>
      <w:r w:rsidRPr="003013DE">
        <w:rPr>
          <w:rFonts w:ascii="Times New Roman" w:eastAsiaTheme="minorEastAsia" w:hAnsi="Times New Roman" w:cs="Times New Roman"/>
          <w:b/>
          <w:bCs/>
          <w:color w:val="auto"/>
          <w:sz w:val="24"/>
          <w:szCs w:val="24"/>
          <w:lang w:eastAsia="es-ES"/>
        </w:rPr>
        <w:t xml:space="preserve">4.1.4.1 </w:t>
      </w:r>
      <w:r w:rsidR="00083DD7" w:rsidRPr="003013DE">
        <w:rPr>
          <w:rFonts w:ascii="Times New Roman" w:eastAsiaTheme="minorEastAsia" w:hAnsi="Times New Roman" w:cs="Times New Roman"/>
          <w:b/>
          <w:bCs/>
          <w:color w:val="auto"/>
          <w:sz w:val="24"/>
          <w:szCs w:val="24"/>
          <w:lang w:eastAsia="es-ES"/>
        </w:rPr>
        <w:t>Comunicación aferente vagal y modulación cerebral</w:t>
      </w:r>
      <w:bookmarkEnd w:id="126"/>
    </w:p>
    <w:p w14:paraId="37C8918F" w14:textId="185487CE" w:rsidR="00083DD7" w:rsidRPr="003013DE" w:rsidRDefault="00083DD7" w:rsidP="00102A11">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nervio vago contiene fibras aferentes que transmiten información desde el intestino hacia el tronco encefálico, especialmente al núcleo del tracto solitario, desde donde se proyectan señales hacia estructuras límbicas y corticales. Los estudios revisados indican que el microbiota intestinal puede modular la actividad de estas fibras vagales mediante la liberación de metabolitos neuroactivos, citocinas y señales químicas producidas por células enteroendocrinas</w:t>
      </w:r>
      <w:r w:rsidR="008C54BB" w:rsidRPr="003013DE">
        <w:rPr>
          <w:rFonts w:ascii="Times New Roman" w:eastAsiaTheme="minorEastAsia" w:hAnsi="Times New Roman" w:cs="Times New Roman"/>
          <w:sz w:val="24"/>
          <w:szCs w:val="24"/>
          <w:vertAlign w:val="superscript"/>
          <w:lang w:eastAsia="es-ES"/>
        </w:rPr>
        <w:t>90</w:t>
      </w:r>
      <w:r w:rsidRPr="003013DE">
        <w:rPr>
          <w:rFonts w:ascii="Times New Roman" w:eastAsiaTheme="minorEastAsia" w:hAnsi="Times New Roman" w:cs="Times New Roman"/>
          <w:sz w:val="24"/>
          <w:szCs w:val="24"/>
          <w:lang w:eastAsia="es-ES"/>
        </w:rPr>
        <w:t>.</w:t>
      </w:r>
    </w:p>
    <w:p w14:paraId="02DA993A" w14:textId="2F483937" w:rsidR="00083DD7" w:rsidRPr="003013DE" w:rsidRDefault="00083DD7" w:rsidP="00102A11">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condiciones de eubiosis, esta señalización vagal contribuye a la regulación del estado de ánimo, la cognición y la respuesta al estrés. Sin embargo, los resultados muestran que en estados de disbiosis intestinal se produce una alteración patológica de la señalización vagal, caracterizada por una activación persistente o aberrante que favorece respuestas neuroinflamatorias centrales</w:t>
      </w:r>
      <w:r w:rsidR="008C54BB" w:rsidRPr="003013DE">
        <w:rPr>
          <w:rFonts w:ascii="Times New Roman" w:eastAsiaTheme="minorEastAsia" w:hAnsi="Times New Roman" w:cs="Times New Roman"/>
          <w:sz w:val="24"/>
          <w:szCs w:val="24"/>
          <w:vertAlign w:val="superscript"/>
          <w:lang w:eastAsia="es-ES"/>
        </w:rPr>
        <w:t>91</w:t>
      </w:r>
      <w:r w:rsidRPr="003013DE">
        <w:rPr>
          <w:rFonts w:ascii="Times New Roman" w:eastAsiaTheme="minorEastAsia" w:hAnsi="Times New Roman" w:cs="Times New Roman"/>
          <w:sz w:val="24"/>
          <w:szCs w:val="24"/>
          <w:lang w:eastAsia="es-ES"/>
        </w:rPr>
        <w:t>.</w:t>
      </w:r>
    </w:p>
    <w:p w14:paraId="1734FBF2" w14:textId="0DD12AC5" w:rsidR="00083DD7" w:rsidRPr="003013DE" w:rsidRDefault="00301CD7" w:rsidP="00083DD7">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 anterior</w:t>
      </w:r>
      <w:r w:rsidR="00083DD7" w:rsidRPr="003013DE">
        <w:rPr>
          <w:rFonts w:ascii="Times New Roman" w:eastAsiaTheme="minorEastAsia" w:hAnsi="Times New Roman" w:cs="Times New Roman"/>
          <w:sz w:val="24"/>
          <w:szCs w:val="24"/>
          <w:lang w:eastAsia="es-ES"/>
        </w:rPr>
        <w:t xml:space="preserve"> refuerza el concepto de que el nervio vago no actúa únicamente como un transmisor pasivo, sino como un modulador activo del tono neuroinflamatorio cerebral. La alteración crónica de esta vía podría contribuir a cambios funcionales tempranos en el SNC, incluso antes de la aparición de daño neuronal estructural.</w:t>
      </w:r>
    </w:p>
    <w:p w14:paraId="6B1E56DE" w14:textId="35D75256" w:rsidR="00083DD7" w:rsidRPr="003013DE" w:rsidRDefault="00102A11" w:rsidP="001D7450">
      <w:pPr>
        <w:pStyle w:val="Ttulo3"/>
        <w:rPr>
          <w:rFonts w:ascii="Times New Roman" w:eastAsiaTheme="minorEastAsia" w:hAnsi="Times New Roman" w:cs="Times New Roman"/>
          <w:b/>
          <w:bCs/>
          <w:color w:val="auto"/>
          <w:sz w:val="24"/>
          <w:szCs w:val="24"/>
          <w:lang w:eastAsia="es-ES"/>
        </w:rPr>
      </w:pPr>
      <w:bookmarkStart w:id="127" w:name="_Toc223177206"/>
      <w:r w:rsidRPr="003013DE">
        <w:rPr>
          <w:rFonts w:ascii="Times New Roman" w:eastAsiaTheme="minorEastAsia" w:hAnsi="Times New Roman" w:cs="Times New Roman"/>
          <w:b/>
          <w:bCs/>
          <w:color w:val="auto"/>
          <w:sz w:val="24"/>
          <w:szCs w:val="24"/>
          <w:lang w:eastAsia="es-ES"/>
        </w:rPr>
        <w:t xml:space="preserve">4.1.4.2 </w:t>
      </w:r>
      <w:r w:rsidR="00083DD7" w:rsidRPr="003013DE">
        <w:rPr>
          <w:rFonts w:ascii="Times New Roman" w:eastAsiaTheme="minorEastAsia" w:hAnsi="Times New Roman" w:cs="Times New Roman"/>
          <w:b/>
          <w:bCs/>
          <w:color w:val="auto"/>
          <w:sz w:val="24"/>
          <w:szCs w:val="24"/>
          <w:lang w:eastAsia="es-ES"/>
        </w:rPr>
        <w:t>Propagación ascendente de proteínas patológicas</w:t>
      </w:r>
      <w:bookmarkEnd w:id="127"/>
    </w:p>
    <w:p w14:paraId="08B6DCF1" w14:textId="003278C5" w:rsidR="00102A11" w:rsidRPr="003013DE" w:rsidRDefault="00083DD7" w:rsidP="00102A11">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Uno de los resultados más relevantes identificados en la literatura analizada es la evidencia de que el nervio vago puede participar en la propagación ascendente de proteínas mal plegadas, particularmente α-sinucleína, desde el sistema nervioso entérico hacia el cerebro. Estudios neuropatológicos y experimentales respaldan la hipótesis de que la agregación de α-sinucleína puede iniciarse en el intestino y ascender hacia el tronco encefálico siguiendo trayectos vagales</w:t>
      </w:r>
      <w:r w:rsidR="00676B3D" w:rsidRPr="003013DE">
        <w:rPr>
          <w:rFonts w:ascii="Times New Roman" w:eastAsiaTheme="minorEastAsia" w:hAnsi="Times New Roman" w:cs="Times New Roman"/>
          <w:sz w:val="24"/>
          <w:szCs w:val="24"/>
          <w:vertAlign w:val="superscript"/>
          <w:lang w:eastAsia="es-ES"/>
        </w:rPr>
        <w:t>34,60</w:t>
      </w:r>
      <w:r w:rsidRPr="003013DE">
        <w:rPr>
          <w:rFonts w:ascii="Times New Roman" w:eastAsiaTheme="minorEastAsia" w:hAnsi="Times New Roman" w:cs="Times New Roman"/>
          <w:sz w:val="24"/>
          <w:szCs w:val="24"/>
          <w:lang w:eastAsia="es-ES"/>
        </w:rPr>
        <w:t>.</w:t>
      </w:r>
    </w:p>
    <w:p w14:paraId="626924D6" w14:textId="2DF41D1D" w:rsidR="00083DD7" w:rsidRPr="003013DE" w:rsidRDefault="00083DD7" w:rsidP="00102A11">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En modelos animales, la inoculación intestinal de α-sinucleína o la inducción de inflamación intestinal crónica favorecen la aparición progresiva de agregados patológicos en </w:t>
      </w:r>
      <w:r w:rsidRPr="003013DE">
        <w:rPr>
          <w:rFonts w:ascii="Times New Roman" w:eastAsiaTheme="minorEastAsia" w:hAnsi="Times New Roman" w:cs="Times New Roman"/>
          <w:sz w:val="24"/>
          <w:szCs w:val="24"/>
          <w:lang w:eastAsia="es-ES"/>
        </w:rPr>
        <w:lastRenderedPageBreak/>
        <w:t>regiones cerebrales conectadas por el nervio vago. Asimismo, estudios epidemiológicos han mostrado que la vagotomía troncal se asocia con una reducción del riesgo de desarrollar enfermedad de Parkinson, lo que refuerza la plausibilidad de este mecanismo</w:t>
      </w:r>
      <w:r w:rsidR="00676B3D" w:rsidRPr="003013DE">
        <w:rPr>
          <w:rFonts w:ascii="Times New Roman" w:eastAsiaTheme="minorEastAsia" w:hAnsi="Times New Roman" w:cs="Times New Roman"/>
          <w:sz w:val="24"/>
          <w:szCs w:val="24"/>
          <w:vertAlign w:val="superscript"/>
          <w:lang w:eastAsia="es-ES"/>
        </w:rPr>
        <w:t>92</w:t>
      </w:r>
      <w:r w:rsidRPr="003013DE">
        <w:rPr>
          <w:rFonts w:ascii="Times New Roman" w:eastAsiaTheme="minorEastAsia" w:hAnsi="Times New Roman" w:cs="Times New Roman"/>
          <w:sz w:val="24"/>
          <w:szCs w:val="24"/>
          <w:lang w:eastAsia="es-ES"/>
        </w:rPr>
        <w:t>.</w:t>
      </w:r>
    </w:p>
    <w:p w14:paraId="76B70B4E" w14:textId="2DA9EA07" w:rsidR="00083DD7" w:rsidRPr="003013DE" w:rsidRDefault="009160FD" w:rsidP="009160F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Este conjunto de resultados respalda </w:t>
      </w:r>
      <w:r w:rsidR="00083DD7" w:rsidRPr="003013DE">
        <w:rPr>
          <w:rFonts w:ascii="Times New Roman" w:eastAsiaTheme="minorEastAsia" w:hAnsi="Times New Roman" w:cs="Times New Roman"/>
          <w:sz w:val="24"/>
          <w:szCs w:val="24"/>
          <w:lang w:eastAsia="es-ES"/>
        </w:rPr>
        <w:t>un modelo periférico de inicio de la neurodegeneración, en el que el intestino actúa como sitio primario de la patología. Desde una perspectiva fisiopatológica, este hallazgo redefine el paradigma clásico centrado exclusivamente en el SNC y abre nuevas líneas de investigación orientadas a la prevención temprana a nivel gastrointestinal.</w:t>
      </w:r>
    </w:p>
    <w:p w14:paraId="7DDEA0B0" w14:textId="4BFBB18F" w:rsidR="00083DD7" w:rsidRPr="003013DE" w:rsidRDefault="000B0AEC" w:rsidP="001D7450">
      <w:pPr>
        <w:pStyle w:val="Ttulo3"/>
        <w:rPr>
          <w:rFonts w:ascii="Times New Roman" w:eastAsiaTheme="minorEastAsia" w:hAnsi="Times New Roman" w:cs="Times New Roman"/>
          <w:b/>
          <w:bCs/>
          <w:color w:val="auto"/>
          <w:sz w:val="24"/>
          <w:szCs w:val="24"/>
          <w:lang w:eastAsia="es-ES"/>
        </w:rPr>
      </w:pPr>
      <w:bookmarkStart w:id="128" w:name="_Toc223177207"/>
      <w:r w:rsidRPr="003013DE">
        <w:rPr>
          <w:rFonts w:ascii="Times New Roman" w:eastAsiaTheme="minorEastAsia" w:hAnsi="Times New Roman" w:cs="Times New Roman"/>
          <w:b/>
          <w:bCs/>
          <w:color w:val="auto"/>
          <w:sz w:val="24"/>
          <w:szCs w:val="24"/>
          <w:lang w:eastAsia="es-ES"/>
        </w:rPr>
        <w:t xml:space="preserve">4.1.4.3 </w:t>
      </w:r>
      <w:r w:rsidR="00083DD7" w:rsidRPr="003013DE">
        <w:rPr>
          <w:rFonts w:ascii="Times New Roman" w:eastAsiaTheme="minorEastAsia" w:hAnsi="Times New Roman" w:cs="Times New Roman"/>
          <w:b/>
          <w:bCs/>
          <w:color w:val="auto"/>
          <w:sz w:val="24"/>
          <w:szCs w:val="24"/>
          <w:lang w:eastAsia="es-ES"/>
        </w:rPr>
        <w:t>Interacción entre microbiota, nervio vago y neuroinflamación</w:t>
      </w:r>
      <w:bookmarkEnd w:id="128"/>
    </w:p>
    <w:p w14:paraId="6057F927" w14:textId="6CEE99A9" w:rsidR="00083DD7" w:rsidRPr="003013DE" w:rsidRDefault="00083DD7" w:rsidP="000B0AE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estudios revisados también evidencian que la activación vagal inducida por disbiosis intestinal interactúa estrechamente con los mecanismos inmunológicos descritos previamente. La señalización vagal aberrante puede potenciar la activación microglial y la producción central de citocinas proinflamatorias, contribuyendo a la neuroinflamación crónica</w:t>
      </w:r>
      <w:r w:rsidR="00676B3D" w:rsidRPr="003013DE">
        <w:rPr>
          <w:rFonts w:ascii="Times New Roman" w:eastAsiaTheme="minorEastAsia" w:hAnsi="Times New Roman" w:cs="Times New Roman"/>
          <w:sz w:val="24"/>
          <w:szCs w:val="24"/>
          <w:vertAlign w:val="superscript"/>
          <w:lang w:eastAsia="es-ES"/>
        </w:rPr>
        <w:t>93</w:t>
      </w:r>
      <w:r w:rsidRPr="003013DE">
        <w:rPr>
          <w:rFonts w:ascii="Times New Roman" w:eastAsiaTheme="minorEastAsia" w:hAnsi="Times New Roman" w:cs="Times New Roman"/>
          <w:sz w:val="24"/>
          <w:szCs w:val="24"/>
          <w:lang w:eastAsia="es-ES"/>
        </w:rPr>
        <w:t>.</w:t>
      </w:r>
    </w:p>
    <w:p w14:paraId="24102963" w14:textId="79FB51CD" w:rsidR="00083DD7" w:rsidRPr="003013DE" w:rsidRDefault="00083DD7" w:rsidP="000B0AEC">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Adicionalmente, se ha descrito que la estimulación vagal puede modular la denominada vía colinérgica antiinflamatoria, mecanismo mediante el cual el sistema nervioso regula la respuesta inmune periférica. En este contexto, la disfunción vagal asociada a la disbiosis podría comprometer esta vía reguladora, favoreciendo un estado inflamatorio sostenido tanto a nivel periférico como central</w:t>
      </w:r>
      <w:r w:rsidR="00676B3D" w:rsidRPr="003013DE">
        <w:rPr>
          <w:rFonts w:ascii="Times New Roman" w:eastAsiaTheme="minorEastAsia" w:hAnsi="Times New Roman" w:cs="Times New Roman"/>
          <w:sz w:val="24"/>
          <w:szCs w:val="24"/>
          <w:vertAlign w:val="superscript"/>
          <w:lang w:eastAsia="es-ES"/>
        </w:rPr>
        <w:t>94</w:t>
      </w:r>
      <w:r w:rsidR="000B0AEC" w:rsidRPr="003013DE">
        <w:rPr>
          <w:rFonts w:ascii="Times New Roman" w:eastAsiaTheme="minorEastAsia" w:hAnsi="Times New Roman" w:cs="Times New Roman"/>
          <w:sz w:val="24"/>
          <w:szCs w:val="24"/>
          <w:lang w:eastAsia="es-ES"/>
        </w:rPr>
        <w:t>.</w:t>
      </w:r>
    </w:p>
    <w:p w14:paraId="1B108BE4" w14:textId="77777777" w:rsidR="00083DD7" w:rsidRPr="003013DE" w:rsidRDefault="00083DD7" w:rsidP="00083DD7">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Este resultado subraya la naturaleza integradora del eje intestino–cerebro, en el que la vía neural no actúa de forma aislada, sino en sinergia con las vías inmunológica y metabólica. La alteración del nervio vago amplifica los efectos de la disbiosis intestinal, contribuyendo a un entorno neurodegenerativo persistente.</w:t>
      </w:r>
    </w:p>
    <w:p w14:paraId="6377E5D9" w14:textId="3D730EA9" w:rsidR="00083DD7" w:rsidRPr="003013DE" w:rsidRDefault="00E47B4F" w:rsidP="001D7450">
      <w:pPr>
        <w:pStyle w:val="Ttulo3"/>
        <w:rPr>
          <w:rFonts w:ascii="Times New Roman" w:eastAsiaTheme="minorEastAsia" w:hAnsi="Times New Roman" w:cs="Times New Roman"/>
          <w:b/>
          <w:bCs/>
          <w:color w:val="auto"/>
          <w:sz w:val="24"/>
          <w:szCs w:val="24"/>
          <w:lang w:eastAsia="es-ES"/>
        </w:rPr>
      </w:pPr>
      <w:bookmarkStart w:id="129" w:name="_Toc223177208"/>
      <w:r w:rsidRPr="003013DE">
        <w:rPr>
          <w:rFonts w:ascii="Times New Roman" w:eastAsiaTheme="minorEastAsia" w:hAnsi="Times New Roman" w:cs="Times New Roman"/>
          <w:b/>
          <w:bCs/>
          <w:color w:val="auto"/>
          <w:sz w:val="24"/>
          <w:szCs w:val="24"/>
          <w:lang w:eastAsia="es-ES"/>
        </w:rPr>
        <w:t xml:space="preserve">4.1.4.4 </w:t>
      </w:r>
      <w:r w:rsidR="00083DD7" w:rsidRPr="003013DE">
        <w:rPr>
          <w:rFonts w:ascii="Times New Roman" w:eastAsiaTheme="minorEastAsia" w:hAnsi="Times New Roman" w:cs="Times New Roman"/>
          <w:b/>
          <w:bCs/>
          <w:color w:val="auto"/>
          <w:sz w:val="24"/>
          <w:szCs w:val="24"/>
          <w:lang w:eastAsia="es-ES"/>
        </w:rPr>
        <w:t>Relevancia del nervio vago en etapas tempranas de la enfermedad</w:t>
      </w:r>
      <w:bookmarkEnd w:id="129"/>
    </w:p>
    <w:p w14:paraId="30EE9275" w14:textId="34191C5F" w:rsidR="00083DD7" w:rsidRPr="003013DE" w:rsidRDefault="00083DD7" w:rsidP="00E47B4F">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Un hallazgo transversal en los estudios analizados es que las alteraciones gastrointestinales y vagales preceden a los síntomas neurológicos clásicos por años. En Parkinson, por ejemplo, síntomas como estreñimiento, disfunción autonómica y alteraciones </w:t>
      </w:r>
      <w:r w:rsidRPr="003013DE">
        <w:rPr>
          <w:rFonts w:ascii="Times New Roman" w:eastAsiaTheme="minorEastAsia" w:hAnsi="Times New Roman" w:cs="Times New Roman"/>
          <w:sz w:val="24"/>
          <w:szCs w:val="24"/>
          <w:lang w:eastAsia="es-ES"/>
        </w:rPr>
        <w:lastRenderedPageBreak/>
        <w:t>entéricas aparecen en fases prodrómicas, lo que sugiere una afectación temprana del eje intestino–vago–cerebro</w:t>
      </w:r>
      <w:r w:rsidR="00676B3D" w:rsidRPr="003013DE">
        <w:rPr>
          <w:rFonts w:ascii="Times New Roman" w:eastAsiaTheme="minorEastAsia" w:hAnsi="Times New Roman" w:cs="Times New Roman"/>
          <w:sz w:val="24"/>
          <w:szCs w:val="24"/>
          <w:vertAlign w:val="superscript"/>
          <w:lang w:eastAsia="es-ES"/>
        </w:rPr>
        <w:t>93,94</w:t>
      </w:r>
      <w:r w:rsidRPr="003013DE">
        <w:rPr>
          <w:rFonts w:ascii="Times New Roman" w:eastAsiaTheme="minorEastAsia" w:hAnsi="Times New Roman" w:cs="Times New Roman"/>
          <w:sz w:val="24"/>
          <w:szCs w:val="24"/>
          <w:lang w:eastAsia="es-ES"/>
        </w:rPr>
        <w:t>.</w:t>
      </w:r>
    </w:p>
    <w:p w14:paraId="4B755809" w14:textId="74231A61" w:rsidR="00083DD7" w:rsidRPr="003013DE" w:rsidRDefault="00083DD7" w:rsidP="00083DD7">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Este patrón temporal refuerza la hipótesis de que la vía neural constituye uno de los primeros eslabones fisiopatológicos en la progresión de la enfermedad, posicionando al intestino como un objetivo clave para la detección precoz y la intervención preventiva</w:t>
      </w:r>
      <w:r w:rsidR="00676B3D" w:rsidRPr="003013DE">
        <w:rPr>
          <w:rFonts w:ascii="Times New Roman" w:eastAsiaTheme="minorEastAsia" w:hAnsi="Times New Roman" w:cs="Times New Roman"/>
          <w:sz w:val="24"/>
          <w:szCs w:val="24"/>
          <w:vertAlign w:val="superscript"/>
          <w:lang w:eastAsia="es-ES"/>
        </w:rPr>
        <w:t>94</w:t>
      </w:r>
      <w:r w:rsidRPr="003013DE">
        <w:rPr>
          <w:rFonts w:ascii="Times New Roman" w:eastAsiaTheme="minorEastAsia" w:hAnsi="Times New Roman" w:cs="Times New Roman"/>
          <w:sz w:val="24"/>
          <w:szCs w:val="24"/>
          <w:lang w:eastAsia="es-ES"/>
        </w:rPr>
        <w:t>.</w:t>
      </w:r>
    </w:p>
    <w:p w14:paraId="1D0BF682" w14:textId="239AE179" w:rsidR="00A23ABD" w:rsidRPr="003013DE" w:rsidRDefault="00A23ABD" w:rsidP="001D7450">
      <w:pPr>
        <w:pStyle w:val="Ttulo2"/>
        <w:rPr>
          <w:rFonts w:ascii="Times New Roman" w:eastAsiaTheme="minorEastAsia" w:hAnsi="Times New Roman" w:cs="Times New Roman"/>
          <w:b/>
          <w:bCs/>
          <w:color w:val="auto"/>
          <w:sz w:val="24"/>
          <w:szCs w:val="24"/>
          <w:lang w:eastAsia="es-ES"/>
        </w:rPr>
      </w:pPr>
      <w:bookmarkStart w:id="130" w:name="_Toc223177209"/>
      <w:r w:rsidRPr="003013DE">
        <w:rPr>
          <w:rFonts w:ascii="Times New Roman" w:eastAsiaTheme="minorEastAsia" w:hAnsi="Times New Roman" w:cs="Times New Roman"/>
          <w:b/>
          <w:bCs/>
          <w:color w:val="auto"/>
          <w:sz w:val="24"/>
          <w:szCs w:val="24"/>
          <w:lang w:eastAsia="es-ES"/>
        </w:rPr>
        <w:t>4.1.5 Disregulación del sistema inmunológico adaptativo y su contribución a la neurodegeneración</w:t>
      </w:r>
      <w:bookmarkEnd w:id="130"/>
    </w:p>
    <w:p w14:paraId="68F6AF56" w14:textId="0B04E67D" w:rsidR="00A23ABD" w:rsidRPr="003013DE" w:rsidRDefault="00A23ABD" w:rsidP="00C407F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análisis de los estudios incluidos permitió identificar que la disregulación del sistema inmunológico adaptativo, inducida por alteraciones en el microbiota intestinal, constituye un mecanismo clave en el desarrollo y progresión de las enfermedades neurodegenerativas. A diferencia de la inmunidad innata, que actúa de manera inmediata, la inmunidad adaptativa participa en procesos inflamatorios sostenidos y altamente específicos, lo que la convierte en un factor determinante en la cronificación del daño neuronal</w:t>
      </w:r>
      <w:r w:rsidR="00654060" w:rsidRPr="003013DE">
        <w:rPr>
          <w:rFonts w:ascii="Times New Roman" w:eastAsiaTheme="minorEastAsia" w:hAnsi="Times New Roman" w:cs="Times New Roman"/>
          <w:sz w:val="24"/>
          <w:szCs w:val="24"/>
          <w:vertAlign w:val="superscript"/>
          <w:lang w:eastAsia="es-ES"/>
        </w:rPr>
        <w:t>95</w:t>
      </w:r>
      <w:r w:rsidRPr="003013DE">
        <w:rPr>
          <w:rFonts w:ascii="Times New Roman" w:eastAsiaTheme="minorEastAsia" w:hAnsi="Times New Roman" w:cs="Times New Roman"/>
          <w:sz w:val="24"/>
          <w:szCs w:val="24"/>
          <w:lang w:eastAsia="es-ES"/>
        </w:rPr>
        <w:t>.</w:t>
      </w:r>
    </w:p>
    <w:p w14:paraId="50A89493" w14:textId="27008053" w:rsidR="00C407FD" w:rsidRPr="003013DE" w:rsidRDefault="00464CF1" w:rsidP="00C407F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párrafo anterior,</w:t>
      </w:r>
      <w:r w:rsidR="00A23ABD" w:rsidRPr="003013DE">
        <w:rPr>
          <w:rFonts w:ascii="Times New Roman" w:eastAsiaTheme="minorEastAsia" w:hAnsi="Times New Roman" w:cs="Times New Roman"/>
          <w:sz w:val="24"/>
          <w:szCs w:val="24"/>
          <w:lang w:eastAsia="es-ES"/>
        </w:rPr>
        <w:t xml:space="preserve"> evidencia que la disbiosis intestinal altera profundamente el equilibrio entre poblaciones de linfocitos T proinflamatorios (Th1 y Th17) y linfocitos T reguladores (Treg), generando un entorno inmunológico sistémico proclive a la inflamación persistente y, en algunos casos, a la autoinmunidad dirigida contra componentes del sistema nervioso central (SNC).</w:t>
      </w:r>
    </w:p>
    <w:p w14:paraId="4E28148E" w14:textId="74DF9172" w:rsidR="00A23ABD" w:rsidRPr="003013DE" w:rsidRDefault="00C407FD" w:rsidP="001D7450">
      <w:pPr>
        <w:pStyle w:val="Ttulo3"/>
        <w:rPr>
          <w:rFonts w:ascii="Times New Roman" w:eastAsiaTheme="minorEastAsia" w:hAnsi="Times New Roman" w:cs="Times New Roman"/>
          <w:b/>
          <w:bCs/>
          <w:color w:val="auto"/>
          <w:sz w:val="24"/>
          <w:szCs w:val="24"/>
          <w:lang w:eastAsia="es-ES"/>
        </w:rPr>
      </w:pPr>
      <w:bookmarkStart w:id="131" w:name="_Toc223177210"/>
      <w:r w:rsidRPr="003013DE">
        <w:rPr>
          <w:rFonts w:ascii="Times New Roman" w:eastAsiaTheme="minorEastAsia" w:hAnsi="Times New Roman" w:cs="Times New Roman"/>
          <w:b/>
          <w:bCs/>
          <w:color w:val="auto"/>
          <w:sz w:val="24"/>
          <w:szCs w:val="24"/>
          <w:lang w:eastAsia="es-ES"/>
        </w:rPr>
        <w:t xml:space="preserve">4.1.5.1 </w:t>
      </w:r>
      <w:r w:rsidR="00A23ABD" w:rsidRPr="003013DE">
        <w:rPr>
          <w:rFonts w:ascii="Times New Roman" w:eastAsiaTheme="minorEastAsia" w:hAnsi="Times New Roman" w:cs="Times New Roman"/>
          <w:b/>
          <w:bCs/>
          <w:color w:val="auto"/>
          <w:sz w:val="24"/>
          <w:szCs w:val="24"/>
          <w:lang w:eastAsia="es-ES"/>
        </w:rPr>
        <w:t>Microbiota intestinal como modulador de la inmunidad adaptativa</w:t>
      </w:r>
      <w:bookmarkEnd w:id="131"/>
    </w:p>
    <w:p w14:paraId="6C1980E7" w14:textId="3D2F7C80" w:rsidR="00C407FD" w:rsidRPr="003013DE" w:rsidRDefault="00A23ABD" w:rsidP="00C407F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estudios analizados coinciden en que el microbiota intestinal cumple una función esencial en la educación y diferenciación del sistema inmunológico adaptativo. En condiciones fisiológicas, metabolitos microbianos como los ácidos grasos de cadena corta (especialmente butirato) favorecen la expansión de células T reguladoras, las cuales desempeñan un papel crítico en el mantenimiento de la tolerancia inmunológica</w:t>
      </w:r>
      <w:r w:rsidR="00654060" w:rsidRPr="003013DE">
        <w:rPr>
          <w:rFonts w:ascii="Times New Roman" w:eastAsiaTheme="minorEastAsia" w:hAnsi="Times New Roman" w:cs="Times New Roman"/>
          <w:sz w:val="24"/>
          <w:szCs w:val="24"/>
          <w:vertAlign w:val="superscript"/>
          <w:lang w:eastAsia="es-ES"/>
        </w:rPr>
        <w:t>96</w:t>
      </w:r>
      <w:r w:rsidRPr="003013DE">
        <w:rPr>
          <w:rFonts w:ascii="Times New Roman" w:eastAsiaTheme="minorEastAsia" w:hAnsi="Times New Roman" w:cs="Times New Roman"/>
          <w:sz w:val="24"/>
          <w:szCs w:val="24"/>
          <w:lang w:eastAsia="es-ES"/>
        </w:rPr>
        <w:t>.</w:t>
      </w:r>
    </w:p>
    <w:p w14:paraId="5848EFEB" w14:textId="5027D8C3" w:rsidR="00A23ABD" w:rsidRPr="003013DE" w:rsidRDefault="00A23ABD" w:rsidP="00C407F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Sin embargo, los resultados muestran que la disbiosis intestinal reduce la señalización tolerogénica y promueve la expansión de subpoblaciones proinflamatorias de linfocitos T. En particular, se observa un aumento de células Th17 productoras de IL-17, citocina que ha </w:t>
      </w:r>
      <w:r w:rsidRPr="003013DE">
        <w:rPr>
          <w:rFonts w:ascii="Times New Roman" w:eastAsiaTheme="minorEastAsia" w:hAnsi="Times New Roman" w:cs="Times New Roman"/>
          <w:sz w:val="24"/>
          <w:szCs w:val="24"/>
          <w:lang w:eastAsia="es-ES"/>
        </w:rPr>
        <w:lastRenderedPageBreak/>
        <w:t>sido ampliamente asociada con inflamación crónica, disrupción de barreras biológicas y daño neuronal</w:t>
      </w:r>
      <w:r w:rsidR="00654060" w:rsidRPr="003013DE">
        <w:rPr>
          <w:rFonts w:ascii="Times New Roman" w:eastAsiaTheme="minorEastAsia" w:hAnsi="Times New Roman" w:cs="Times New Roman"/>
          <w:sz w:val="24"/>
          <w:szCs w:val="24"/>
          <w:vertAlign w:val="superscript"/>
          <w:lang w:eastAsia="es-ES"/>
        </w:rPr>
        <w:t>96</w:t>
      </w:r>
      <w:r w:rsidRPr="003013DE">
        <w:rPr>
          <w:rFonts w:ascii="Times New Roman" w:eastAsiaTheme="minorEastAsia" w:hAnsi="Times New Roman" w:cs="Times New Roman"/>
          <w:sz w:val="24"/>
          <w:szCs w:val="24"/>
          <w:lang w:eastAsia="es-ES"/>
        </w:rPr>
        <w:t>.</w:t>
      </w:r>
    </w:p>
    <w:p w14:paraId="0128E62A" w14:textId="15A99CD4" w:rsidR="00A23ABD" w:rsidRPr="003013DE" w:rsidRDefault="009160FD" w:rsidP="00A23AB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Lo dicho anteriormente, </w:t>
      </w:r>
      <w:r w:rsidR="00A23ABD" w:rsidRPr="003013DE">
        <w:rPr>
          <w:rFonts w:ascii="Times New Roman" w:eastAsiaTheme="minorEastAsia" w:hAnsi="Times New Roman" w:cs="Times New Roman"/>
          <w:sz w:val="24"/>
          <w:szCs w:val="24"/>
          <w:lang w:eastAsia="es-ES"/>
        </w:rPr>
        <w:t>sugiere que la disbiosis no solo actúa como desencadenante inflamatorio, sino que reprograma el sistema inmunológico adaptativo hacia un fenotipo patológico persistente. Esta reprogramación inmunológica crea las condiciones necesarias para la progresión de la neurodegeneración incluso en ausencia de estímulos infecciosos activos.</w:t>
      </w:r>
    </w:p>
    <w:p w14:paraId="441F9CB7" w14:textId="43D6F6AB" w:rsidR="00A23ABD" w:rsidRPr="003013DE" w:rsidRDefault="00C407FD" w:rsidP="001D7450">
      <w:pPr>
        <w:pStyle w:val="Ttulo3"/>
        <w:rPr>
          <w:rFonts w:ascii="Times New Roman" w:eastAsiaTheme="minorEastAsia" w:hAnsi="Times New Roman" w:cs="Times New Roman"/>
          <w:b/>
          <w:bCs/>
          <w:color w:val="auto"/>
          <w:sz w:val="24"/>
          <w:szCs w:val="24"/>
          <w:lang w:eastAsia="es-ES"/>
        </w:rPr>
      </w:pPr>
      <w:bookmarkStart w:id="132" w:name="_Toc223177211"/>
      <w:r w:rsidRPr="003013DE">
        <w:rPr>
          <w:rFonts w:ascii="Times New Roman" w:eastAsiaTheme="minorEastAsia" w:hAnsi="Times New Roman" w:cs="Times New Roman"/>
          <w:b/>
          <w:bCs/>
          <w:color w:val="auto"/>
          <w:sz w:val="24"/>
          <w:szCs w:val="24"/>
          <w:lang w:eastAsia="es-ES"/>
        </w:rPr>
        <w:t xml:space="preserve">4.1.5.2 </w:t>
      </w:r>
      <w:r w:rsidR="00A23ABD" w:rsidRPr="003013DE">
        <w:rPr>
          <w:rFonts w:ascii="Times New Roman" w:eastAsiaTheme="minorEastAsia" w:hAnsi="Times New Roman" w:cs="Times New Roman"/>
          <w:b/>
          <w:bCs/>
          <w:color w:val="auto"/>
          <w:sz w:val="24"/>
          <w:szCs w:val="24"/>
          <w:lang w:eastAsia="es-ES"/>
        </w:rPr>
        <w:t>Disregulación inmunológica y ruptura de la tolerancia al SNC</w:t>
      </w:r>
      <w:bookmarkEnd w:id="132"/>
    </w:p>
    <w:p w14:paraId="2C666B14" w14:textId="3CC76542" w:rsidR="00A23ABD" w:rsidRPr="003013DE" w:rsidRDefault="00A23ABD" w:rsidP="00C407F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Un resultado clave identificado en los estudios revisados es que la alteración del equilibrio Treg/Th17 favorece la ruptura de la tolerancia inmunológica frente a antígenos del sistema nervioso central. Este mecanismo ha sido particularmente bien documentado en la esclerosis múltiple, pero evidencia creciente sugiere su participación también en Alzheimer y Parkinson</w:t>
      </w:r>
      <w:r w:rsidR="00654060" w:rsidRPr="003013DE">
        <w:rPr>
          <w:rFonts w:ascii="Times New Roman" w:eastAsiaTheme="minorEastAsia" w:hAnsi="Times New Roman" w:cs="Times New Roman"/>
          <w:sz w:val="24"/>
          <w:szCs w:val="24"/>
          <w:vertAlign w:val="superscript"/>
          <w:lang w:eastAsia="es-ES"/>
        </w:rPr>
        <w:t>97</w:t>
      </w:r>
      <w:r w:rsidRPr="003013DE">
        <w:rPr>
          <w:rFonts w:ascii="Times New Roman" w:eastAsiaTheme="minorEastAsia" w:hAnsi="Times New Roman" w:cs="Times New Roman"/>
          <w:sz w:val="24"/>
          <w:szCs w:val="24"/>
          <w:lang w:eastAsia="es-ES"/>
        </w:rPr>
        <w:t>.</w:t>
      </w:r>
    </w:p>
    <w:p w14:paraId="4658D3D5" w14:textId="1BF255B8" w:rsidR="00A23ABD" w:rsidRPr="003013DE" w:rsidRDefault="00A23ABD" w:rsidP="00C407F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La disbiosis intestinal promueve la activación de linfocitos autorreactivos capaces de atravesar la barrera hematoencefálica alterada y reconocer antígenos neuronales o gliales. Una vez en el SNC, estas células contribuyen a la amplificación de la neuroinflamación mediante la liberación de citocinas proinflamatorias y la activación de microglía y astrocitos</w:t>
      </w:r>
      <w:r w:rsidR="00654060" w:rsidRPr="003013DE">
        <w:rPr>
          <w:rFonts w:ascii="Times New Roman" w:eastAsiaTheme="minorEastAsia" w:hAnsi="Times New Roman" w:cs="Times New Roman"/>
          <w:sz w:val="24"/>
          <w:szCs w:val="24"/>
          <w:vertAlign w:val="superscript"/>
          <w:lang w:eastAsia="es-ES"/>
        </w:rPr>
        <w:t>98</w:t>
      </w:r>
      <w:r w:rsidRPr="003013DE">
        <w:rPr>
          <w:rFonts w:ascii="Times New Roman" w:eastAsiaTheme="minorEastAsia" w:hAnsi="Times New Roman" w:cs="Times New Roman"/>
          <w:sz w:val="24"/>
          <w:szCs w:val="24"/>
          <w:lang w:eastAsia="es-ES"/>
        </w:rPr>
        <w:t>.</w:t>
      </w:r>
    </w:p>
    <w:p w14:paraId="58C371C3" w14:textId="77777777" w:rsidR="00A23ABD" w:rsidRPr="003013DE" w:rsidRDefault="00A23ABD" w:rsidP="00A23AB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Estos resultados respaldan la hipótesis de que ciertos procesos neurodegenerativos comparten componentes autoinmunes subyacentes, modulados indirectamente por el microbiota intestinal. La neurodegeneración, desde esta perspectiva, no sería exclusivamente un fenómeno neurointrínseco, sino el resultado de una interacción sistémica entre intestino, sistema inmunológico y cerebro.</w:t>
      </w:r>
    </w:p>
    <w:p w14:paraId="415F9BED" w14:textId="58678564" w:rsidR="00A23ABD" w:rsidRPr="003013DE" w:rsidRDefault="00F031A5" w:rsidP="001D7450">
      <w:pPr>
        <w:pStyle w:val="Ttulo3"/>
        <w:rPr>
          <w:rFonts w:ascii="Times New Roman" w:eastAsiaTheme="minorEastAsia" w:hAnsi="Times New Roman" w:cs="Times New Roman"/>
          <w:b/>
          <w:bCs/>
          <w:color w:val="auto"/>
          <w:sz w:val="24"/>
          <w:szCs w:val="24"/>
          <w:lang w:eastAsia="es-ES"/>
        </w:rPr>
      </w:pPr>
      <w:bookmarkStart w:id="133" w:name="_Toc223177212"/>
      <w:r w:rsidRPr="003013DE">
        <w:rPr>
          <w:rFonts w:ascii="Times New Roman" w:eastAsiaTheme="minorEastAsia" w:hAnsi="Times New Roman" w:cs="Times New Roman"/>
          <w:b/>
          <w:bCs/>
          <w:color w:val="auto"/>
          <w:sz w:val="24"/>
          <w:szCs w:val="24"/>
          <w:lang w:eastAsia="es-ES"/>
        </w:rPr>
        <w:t xml:space="preserve">4.1.5.3 </w:t>
      </w:r>
      <w:r w:rsidR="00A23ABD" w:rsidRPr="003013DE">
        <w:rPr>
          <w:rFonts w:ascii="Times New Roman" w:eastAsiaTheme="minorEastAsia" w:hAnsi="Times New Roman" w:cs="Times New Roman"/>
          <w:b/>
          <w:bCs/>
          <w:color w:val="auto"/>
          <w:sz w:val="24"/>
          <w:szCs w:val="24"/>
          <w:lang w:eastAsia="es-ES"/>
        </w:rPr>
        <w:t>Evidencia en enfermedades neurodegenerativas específicas</w:t>
      </w:r>
      <w:bookmarkEnd w:id="133"/>
    </w:p>
    <w:p w14:paraId="36E5524F" w14:textId="3C8B13C4" w:rsidR="00A23ABD" w:rsidRPr="003013DE" w:rsidRDefault="00A23ABD" w:rsidP="00F031A5">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En la esclerosis múltiple, los estudios incluidos muestran de manera consistente una reducción de bacterias con propiedades antiinflamatorias y un aumento de microorganismos asociados con respuestas Th17. La transferencia de microbiota de pacientes con esclerosis </w:t>
      </w:r>
      <w:r w:rsidRPr="003013DE">
        <w:rPr>
          <w:rFonts w:ascii="Times New Roman" w:eastAsiaTheme="minorEastAsia" w:hAnsi="Times New Roman" w:cs="Times New Roman"/>
          <w:sz w:val="24"/>
          <w:szCs w:val="24"/>
          <w:lang w:eastAsia="es-ES"/>
        </w:rPr>
        <w:lastRenderedPageBreak/>
        <w:t>múltiple a modelos animales induce un fenotipo neuroinflamatorio más severo, lo que demuestra una relación causal entre microbiota y disfunción inmunológica adaptativa</w:t>
      </w:r>
      <w:r w:rsidR="00654060" w:rsidRPr="003013DE">
        <w:rPr>
          <w:rFonts w:ascii="Times New Roman" w:eastAsiaTheme="minorEastAsia" w:hAnsi="Times New Roman" w:cs="Times New Roman"/>
          <w:sz w:val="24"/>
          <w:szCs w:val="24"/>
          <w:vertAlign w:val="superscript"/>
          <w:lang w:eastAsia="es-ES"/>
        </w:rPr>
        <w:t>98</w:t>
      </w:r>
      <w:r w:rsidRPr="003013DE">
        <w:rPr>
          <w:rFonts w:ascii="Times New Roman" w:eastAsiaTheme="minorEastAsia" w:hAnsi="Times New Roman" w:cs="Times New Roman"/>
          <w:sz w:val="24"/>
          <w:szCs w:val="24"/>
          <w:lang w:eastAsia="es-ES"/>
        </w:rPr>
        <w:t>.</w:t>
      </w:r>
    </w:p>
    <w:p w14:paraId="33BC8733" w14:textId="2061DFB0" w:rsidR="00A23ABD" w:rsidRPr="003013DE" w:rsidRDefault="00A23ABD" w:rsidP="00F031A5">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la enfermedad de Alzheimer, aunque tradicionalmente considerada una patología neurodegenerativa no autoinmune, los resultados analizados indican una activación crónica del sistema inmunológico adaptativo, con presencia de linfocitos T en regiones cerebrales afectadas. La disbiosis intestinal podría contribuir a esta activación mediante la promoción de inflamaci</w:t>
      </w:r>
      <w:r w:rsidR="00F031A5" w:rsidRPr="003013DE">
        <w:rPr>
          <w:rFonts w:ascii="Times New Roman" w:eastAsiaTheme="minorEastAsia" w:hAnsi="Times New Roman" w:cs="Times New Roman"/>
          <w:sz w:val="24"/>
          <w:szCs w:val="24"/>
          <w:lang w:eastAsia="es-ES"/>
        </w:rPr>
        <w:t>on</w:t>
      </w:r>
      <w:r w:rsidRPr="003013DE">
        <w:rPr>
          <w:rFonts w:ascii="Times New Roman" w:eastAsiaTheme="minorEastAsia" w:hAnsi="Times New Roman" w:cs="Times New Roman"/>
          <w:sz w:val="24"/>
          <w:szCs w:val="24"/>
          <w:lang w:eastAsia="es-ES"/>
        </w:rPr>
        <w:t xml:space="preserve"> sistémica persistente</w:t>
      </w:r>
      <w:r w:rsidR="00654060" w:rsidRPr="003013DE">
        <w:rPr>
          <w:rFonts w:ascii="Times New Roman" w:eastAsiaTheme="minorEastAsia" w:hAnsi="Times New Roman" w:cs="Times New Roman"/>
          <w:sz w:val="24"/>
          <w:szCs w:val="24"/>
          <w:vertAlign w:val="superscript"/>
          <w:lang w:eastAsia="es-ES"/>
        </w:rPr>
        <w:t>98</w:t>
      </w:r>
      <w:r w:rsidRPr="003013DE">
        <w:rPr>
          <w:rFonts w:ascii="Times New Roman" w:eastAsiaTheme="minorEastAsia" w:hAnsi="Times New Roman" w:cs="Times New Roman"/>
          <w:sz w:val="24"/>
          <w:szCs w:val="24"/>
          <w:lang w:eastAsia="es-ES"/>
        </w:rPr>
        <w:t>.</w:t>
      </w:r>
    </w:p>
    <w:p w14:paraId="629B9042" w14:textId="77777777" w:rsidR="00A23ABD" w:rsidRPr="003013DE" w:rsidRDefault="00A23ABD" w:rsidP="00A23ABD">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En la enfermedad de Parkinson, se ha descrito un aumento de linfocitos T proinflamatorios en sangre periférica y en tejido cerebral, asociado con alteraciones del microbiota intestinal. Estos linfocitos parecen participar activamente en la degeneración de neuronas dopaminérgicas.</w:t>
      </w:r>
    </w:p>
    <w:p w14:paraId="20DF346C" w14:textId="3BDB1955" w:rsidR="00A23ABD" w:rsidRPr="003013DE" w:rsidRDefault="002D0C07" w:rsidP="001D7450">
      <w:pPr>
        <w:pStyle w:val="Ttulo3"/>
        <w:rPr>
          <w:rFonts w:ascii="Times New Roman" w:eastAsiaTheme="minorEastAsia" w:hAnsi="Times New Roman" w:cs="Times New Roman"/>
          <w:b/>
          <w:bCs/>
          <w:color w:val="auto"/>
          <w:sz w:val="24"/>
          <w:szCs w:val="24"/>
          <w:lang w:eastAsia="es-ES"/>
        </w:rPr>
      </w:pPr>
      <w:bookmarkStart w:id="134" w:name="_Toc223177213"/>
      <w:r w:rsidRPr="003013DE">
        <w:rPr>
          <w:rFonts w:ascii="Times New Roman" w:eastAsiaTheme="minorEastAsia" w:hAnsi="Times New Roman" w:cs="Times New Roman"/>
          <w:b/>
          <w:bCs/>
          <w:color w:val="auto"/>
          <w:sz w:val="24"/>
          <w:szCs w:val="24"/>
          <w:lang w:eastAsia="es-ES"/>
        </w:rPr>
        <w:t xml:space="preserve">4.1.5.4 </w:t>
      </w:r>
      <w:r w:rsidR="00A23ABD" w:rsidRPr="003013DE">
        <w:rPr>
          <w:rFonts w:ascii="Times New Roman" w:eastAsiaTheme="minorEastAsia" w:hAnsi="Times New Roman" w:cs="Times New Roman"/>
          <w:b/>
          <w:bCs/>
          <w:color w:val="auto"/>
          <w:sz w:val="24"/>
          <w:szCs w:val="24"/>
          <w:lang w:eastAsia="es-ES"/>
        </w:rPr>
        <w:t>Interacción entre inmunidad adaptativa, microglía y neurodegeneración</w:t>
      </w:r>
      <w:bookmarkEnd w:id="134"/>
    </w:p>
    <w:p w14:paraId="12D40DF2" w14:textId="6E5A9FA8" w:rsidR="00A23ABD" w:rsidRPr="003013DE" w:rsidRDefault="00A23ABD" w:rsidP="00A86E08">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Los resultados también muestran que la inmunidad adaptativa actúa en estrecha sinergia con la activación microglial, descrita en subapartados previos. Las citocinas producidas por linfocitos T activados potencian la activación microglial y prolongan su fenotipo proinflamatorio, creando un circuito de retroalimentación que perpetúa el daño neuronal.</w:t>
      </w:r>
      <w:r w:rsidR="00A86E08"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Desde un punto de vista fisiopatológico, este mecanismo explica por qué la neuroinflamación en enfermedades neurodegenerativas tiende a ser crónica, progresiva y resistente a la resolución espontánea. La disbiosis intestinal actúa como un estímulo constante que mantiene activado al sistema inmunológico adaptativo</w:t>
      </w:r>
      <w:r w:rsidR="008B4699" w:rsidRPr="003013DE">
        <w:rPr>
          <w:rFonts w:ascii="Times New Roman" w:eastAsiaTheme="minorEastAsia" w:hAnsi="Times New Roman" w:cs="Times New Roman"/>
          <w:sz w:val="24"/>
          <w:szCs w:val="24"/>
          <w:vertAlign w:val="superscript"/>
          <w:lang w:eastAsia="es-ES"/>
        </w:rPr>
        <w:t>99</w:t>
      </w:r>
      <w:r w:rsidRPr="003013DE">
        <w:rPr>
          <w:rFonts w:ascii="Times New Roman" w:eastAsiaTheme="minorEastAsia" w:hAnsi="Times New Roman" w:cs="Times New Roman"/>
          <w:sz w:val="24"/>
          <w:szCs w:val="24"/>
          <w:lang w:eastAsia="es-ES"/>
        </w:rPr>
        <w:t>.</w:t>
      </w:r>
    </w:p>
    <w:p w14:paraId="73FAC59E" w14:textId="29D6F979" w:rsidR="00A23ABD" w:rsidRPr="003013DE" w:rsidRDefault="00A86E08" w:rsidP="001D7450">
      <w:pPr>
        <w:pStyle w:val="Ttulo3"/>
        <w:rPr>
          <w:rFonts w:ascii="Times New Roman" w:eastAsiaTheme="minorEastAsia" w:hAnsi="Times New Roman" w:cs="Times New Roman"/>
          <w:b/>
          <w:bCs/>
          <w:color w:val="auto"/>
          <w:sz w:val="24"/>
          <w:szCs w:val="24"/>
          <w:lang w:eastAsia="es-ES"/>
        </w:rPr>
      </w:pPr>
      <w:bookmarkStart w:id="135" w:name="_Toc223177214"/>
      <w:r w:rsidRPr="003013DE">
        <w:rPr>
          <w:rFonts w:ascii="Times New Roman" w:eastAsiaTheme="minorEastAsia" w:hAnsi="Times New Roman" w:cs="Times New Roman"/>
          <w:b/>
          <w:bCs/>
          <w:color w:val="auto"/>
          <w:sz w:val="24"/>
          <w:szCs w:val="24"/>
          <w:lang w:eastAsia="es-ES"/>
        </w:rPr>
        <w:t xml:space="preserve">4.1.5.5 </w:t>
      </w:r>
      <w:r w:rsidR="00A23ABD" w:rsidRPr="003013DE">
        <w:rPr>
          <w:rFonts w:ascii="Times New Roman" w:eastAsiaTheme="minorEastAsia" w:hAnsi="Times New Roman" w:cs="Times New Roman"/>
          <w:b/>
          <w:bCs/>
          <w:color w:val="auto"/>
          <w:sz w:val="24"/>
          <w:szCs w:val="24"/>
          <w:lang w:eastAsia="es-ES"/>
        </w:rPr>
        <w:t>Implicaciones temporales y progresión de la enfermedad</w:t>
      </w:r>
      <w:bookmarkEnd w:id="135"/>
    </w:p>
    <w:p w14:paraId="29AB5058" w14:textId="72BB388C" w:rsidR="00E869FB" w:rsidRPr="003013DE" w:rsidRDefault="00A23ABD" w:rsidP="00A86E08">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Un aspecto relevante identificado en los estudios es que las alteraciones inmunológicas adaptativas asociadas a la disbiosis intestinal pueden detectarse en etapas tempranas, incluso antes del diagnóstico clínico de la enfermedad neurodegenerativa. Esto sugiere que la disfunción del eje intestino–inmunidad–cerebro podría participar en las fases iniciales de la patología.</w:t>
      </w:r>
      <w:r w:rsidR="00A86E08" w:rsidRPr="003013DE">
        <w:rPr>
          <w:rFonts w:ascii="Times New Roman" w:eastAsiaTheme="minorEastAsia" w:hAnsi="Times New Roman" w:cs="Times New Roman"/>
          <w:sz w:val="24"/>
          <w:szCs w:val="24"/>
          <w:lang w:eastAsia="es-ES"/>
        </w:rPr>
        <w:t xml:space="preserve"> </w:t>
      </w:r>
      <w:r w:rsidRPr="003013DE">
        <w:rPr>
          <w:rFonts w:ascii="Times New Roman" w:eastAsiaTheme="minorEastAsia" w:hAnsi="Times New Roman" w:cs="Times New Roman"/>
          <w:sz w:val="24"/>
          <w:szCs w:val="24"/>
          <w:lang w:eastAsia="es-ES"/>
        </w:rPr>
        <w:t xml:space="preserve">Este patrón temporal refuerza la noción de que la inmunidad adaptativa no es solo un modulador de la progresión, sino un actor activo en el inicio del </w:t>
      </w:r>
      <w:r w:rsidRPr="003013DE">
        <w:rPr>
          <w:rFonts w:ascii="Times New Roman" w:eastAsiaTheme="minorEastAsia" w:hAnsi="Times New Roman" w:cs="Times New Roman"/>
          <w:sz w:val="24"/>
          <w:szCs w:val="24"/>
          <w:lang w:eastAsia="es-ES"/>
        </w:rPr>
        <w:lastRenderedPageBreak/>
        <w:t>proceso neurodegenerativo, lo que abre la posibilidad de intervenciones preventivas dirigidas al microbiota intestinal</w:t>
      </w:r>
      <w:r w:rsidR="002A6981" w:rsidRPr="003013DE">
        <w:rPr>
          <w:rFonts w:ascii="Times New Roman" w:eastAsiaTheme="minorEastAsia" w:hAnsi="Times New Roman" w:cs="Times New Roman"/>
          <w:sz w:val="24"/>
          <w:szCs w:val="24"/>
          <w:vertAlign w:val="superscript"/>
          <w:lang w:eastAsia="es-ES"/>
        </w:rPr>
        <w:t>100</w:t>
      </w:r>
      <w:r w:rsidRPr="003013DE">
        <w:rPr>
          <w:rFonts w:ascii="Times New Roman" w:eastAsiaTheme="minorEastAsia" w:hAnsi="Times New Roman" w:cs="Times New Roman"/>
          <w:sz w:val="24"/>
          <w:szCs w:val="24"/>
          <w:lang w:eastAsia="es-ES"/>
        </w:rPr>
        <w:t>.</w:t>
      </w:r>
    </w:p>
    <w:p w14:paraId="4607373E" w14:textId="4719C51C" w:rsidR="000C18A0" w:rsidRPr="003013DE" w:rsidRDefault="000C18A0" w:rsidP="001D7450">
      <w:pPr>
        <w:pStyle w:val="Ttulo2"/>
        <w:rPr>
          <w:rFonts w:ascii="Times New Roman" w:eastAsiaTheme="minorEastAsia" w:hAnsi="Times New Roman" w:cs="Times New Roman"/>
          <w:b/>
          <w:bCs/>
          <w:color w:val="auto"/>
          <w:sz w:val="24"/>
          <w:szCs w:val="24"/>
          <w:lang w:eastAsia="es-ES"/>
        </w:rPr>
      </w:pPr>
      <w:bookmarkStart w:id="136" w:name="_Toc223177215"/>
      <w:r w:rsidRPr="003013DE">
        <w:rPr>
          <w:rFonts w:ascii="Times New Roman" w:eastAsiaTheme="minorEastAsia" w:hAnsi="Times New Roman" w:cs="Times New Roman"/>
          <w:b/>
          <w:bCs/>
          <w:color w:val="auto"/>
          <w:sz w:val="24"/>
          <w:szCs w:val="24"/>
          <w:lang w:eastAsia="es-ES"/>
        </w:rPr>
        <w:t>4.1.6 Discusion y análisis objetivo 1</w:t>
      </w:r>
      <w:bookmarkEnd w:id="136"/>
    </w:p>
    <w:p w14:paraId="02E7E686" w14:textId="42AB943F" w:rsidR="00E35C98" w:rsidRPr="003013DE" w:rsidRDefault="00E35C98" w:rsidP="000C18A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El Objetivo 1 tuvo como finalidad describir los principales mecanismos del eje intestino–</w:t>
      </w:r>
      <w:r w:rsidR="000C18A0" w:rsidRPr="003013DE">
        <w:rPr>
          <w:rFonts w:ascii="Times New Roman" w:eastAsiaTheme="minorEastAsia" w:hAnsi="Times New Roman" w:cs="Times New Roman"/>
          <w:sz w:val="24"/>
          <w:szCs w:val="24"/>
          <w:lang w:eastAsia="es-ES"/>
        </w:rPr>
        <w:t>cerebros implicados</w:t>
      </w:r>
      <w:r w:rsidRPr="003013DE">
        <w:rPr>
          <w:rFonts w:ascii="Times New Roman" w:eastAsiaTheme="minorEastAsia" w:hAnsi="Times New Roman" w:cs="Times New Roman"/>
          <w:sz w:val="24"/>
          <w:szCs w:val="24"/>
          <w:lang w:eastAsia="es-ES"/>
        </w:rPr>
        <w:t xml:space="preserve"> en el desarrollo y progresión de enfermedades neurodegenerativas. La integración de los resultados obtenidos permite sostener que la disbiosis intestinal no constituye un fenómeno aislado ni secundario, sino un factor fisiopatológico con potencial participación temprana en la cascada neurodegenerativa. Los hallazgos revisados demuestran que las vías inmunológicas, metabólicas y neurales del eje intestino–cerebro interactúan de manera dinámica, generando un entorno sistémico que favorece la inflamación crónica y la vulnerabilidad neuronal.</w:t>
      </w:r>
    </w:p>
    <w:p w14:paraId="69C996FF" w14:textId="7A7AA174" w:rsidR="00E35C98" w:rsidRPr="003013DE" w:rsidRDefault="00E35C98" w:rsidP="000C18A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Desde el marco teórico, se postuló que la alteración del microbiota intestinal podría actuar como desencadenante o modulador en patologías como la enfermedad de Alzheimer, la enfermedad de Parkinson y la esclerosis múltiple. La evidencia analizada respalda esta hipótesis al demostrar coherencia biológica entre la disbiosis, la inflamación sistémica y la activación de mecanismos centrales de neurodegeneración.</w:t>
      </w:r>
    </w:p>
    <w:p w14:paraId="633254E3" w14:textId="4D90E569" w:rsidR="00E35C98" w:rsidRPr="003013DE" w:rsidRDefault="00E35C98" w:rsidP="00EB151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Uno de los hallazgos más consistentes fue la disfunción de la barrera intestinal. La ruptura de las uniones estrechas epiteliales, mediada por alteraciones en proteínas como claudinas, ocludina y zonulina, permite la translocación de lipopolisacáridos y otros productos microbianos hacia la circulación sistémica. Este fenómeno genera un estado de inflamación crónica de bajo grado caracterizado por la activación de receptores tipo Toll y la liberación sostenida de citocinas proinflamatorias como TNF-α, IL-1β e IL-6. La importancia de este mecanismo radica en que la inflamación sistémica sostenida no permanece confinada al ámbito periférico, sino que altera la integridad de la barrera hematoencefálica, facilitando la entrada de mediadores inflamatorios al sistema nervioso central.</w:t>
      </w:r>
    </w:p>
    <w:p w14:paraId="093A7266" w14:textId="77777777" w:rsidR="00EB1516" w:rsidRPr="003013DE" w:rsidRDefault="00E35C98" w:rsidP="00EB151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La activación microglial emerge como el punto de convergencia central de estas señales periféricas. La microglía, que en condiciones fisiológicas cumple funciones de vigilancia y mantenimiento sináptico, adopta un fenotipo proinflamatorio cuando es </w:t>
      </w:r>
      <w:r w:rsidRPr="003013DE">
        <w:rPr>
          <w:rFonts w:ascii="Times New Roman" w:eastAsiaTheme="minorEastAsia" w:hAnsi="Times New Roman" w:cs="Times New Roman"/>
          <w:sz w:val="24"/>
          <w:szCs w:val="24"/>
          <w:lang w:eastAsia="es-ES"/>
        </w:rPr>
        <w:lastRenderedPageBreak/>
        <w:t>estimulada de forma persistente. Esta activación sostenida promueve la producción de especies reactivas de oxígeno y citocinas neurotóxicas, generando un microambiente hostil para las neuronas</w:t>
      </w:r>
      <w:r w:rsidR="00EB1516" w:rsidRPr="003013DE">
        <w:rPr>
          <w:rFonts w:ascii="Times New Roman" w:eastAsiaTheme="minorEastAsia" w:hAnsi="Times New Roman" w:cs="Times New Roman"/>
          <w:sz w:val="24"/>
          <w:szCs w:val="24"/>
          <w:lang w:eastAsia="es-ES"/>
        </w:rPr>
        <w:t>.</w:t>
      </w:r>
    </w:p>
    <w:p w14:paraId="2BC56085" w14:textId="7D548EB6" w:rsidR="00E35C98" w:rsidRPr="003013DE" w:rsidRDefault="00EB1516" w:rsidP="00EB1516">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En lo que respecta a </w:t>
      </w:r>
      <w:r w:rsidR="00E35C98" w:rsidRPr="003013DE">
        <w:rPr>
          <w:rFonts w:ascii="Times New Roman" w:eastAsiaTheme="minorEastAsia" w:hAnsi="Times New Roman" w:cs="Times New Roman"/>
          <w:sz w:val="24"/>
          <w:szCs w:val="24"/>
          <w:lang w:eastAsia="es-ES"/>
        </w:rPr>
        <w:t>la enfermedad de Alzheimer, este proceso se asocia con mayor depósito de β-amiloide y reducción de la capacidad fagocítica microglial. En la enfermedad de Parkinson, la activación microglial favorece la agregación y propagación de α-sinucleína. En la esclerosis múltiple, la inflamación mediada por células inmunes amplifica el daño desmielinizante. En este contexto, la microglía no actúa como causa primaria aislada, sino como amplificador central de una señal inflamatoria que se origina en el intestino.</w:t>
      </w:r>
    </w:p>
    <w:p w14:paraId="36C5C514" w14:textId="77777777" w:rsidR="00EB1516" w:rsidRPr="003013DE" w:rsidRDefault="00E35C98" w:rsidP="000C18A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Otro componente fundamental identificado en los resultados fue la alteración del perfil metabólico microbiano. La reducción de bacterias productoras de ácidos grasos de cadena corta, particularmente butirato, implica la pérdida de señales antiinflamatorias esenciales. El butirato no solo refuerza la integridad de la barrera intestinal, sino que modula la diferenciación de células T reguladoras y ejerce efectos epigenéticos mediante la inhibición de histona desacetilasas.</w:t>
      </w:r>
    </w:p>
    <w:p w14:paraId="07113466" w14:textId="343D5DA4" w:rsidR="00E35C98" w:rsidRPr="003013DE" w:rsidRDefault="00E35C98" w:rsidP="004A1D0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 Su disminución priva al sistema nervioso de mecanismos reguladores que normalmente limitan la inflamación. Paralelamente, la desviación del metabolismo del triptófano hacia la vía de la quinurenina incrementa la producción de metabolitos neurotóxicos como el ácido quinolínico, potenciando procesos excitotóxicos y disfunción sináptica. Estos hallazgos confirman que la disbiosis no solo incrementa factores nocivos, sino que elimina señales protectoras fundamentales.</w:t>
      </w:r>
    </w:p>
    <w:p w14:paraId="29EF782E" w14:textId="313E2AE1" w:rsidR="00E35C98" w:rsidRPr="003013DE" w:rsidRDefault="00E35C98" w:rsidP="004A1D0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La vía neural, particularmente a través del nervio vago, añade una dimensión adicional al modelo integrador. La evidencia experimental y epidemiológica sugiere que proteínas mal plegadas como la α-sinucleína pueden propagarse desde el sistema nervioso entérico hacia el tronco encefálico siguiendo trayectos vagales. Este modelo periférico de inicio es especialmente relevante en la enfermedad de Parkinson, donde síntomas gastrointestinales preceden por años a la manifestación motora. Además, la señalización vagal alterada puede modular la respuesta inflamatoria central y periférica, interactuando con </w:t>
      </w:r>
      <w:r w:rsidRPr="003013DE">
        <w:rPr>
          <w:rFonts w:ascii="Times New Roman" w:eastAsiaTheme="minorEastAsia" w:hAnsi="Times New Roman" w:cs="Times New Roman"/>
          <w:sz w:val="24"/>
          <w:szCs w:val="24"/>
          <w:lang w:eastAsia="es-ES"/>
        </w:rPr>
        <w:lastRenderedPageBreak/>
        <w:t>los mecanismos inmunológicos descritos previamente. La vía neural, por tanto, no actúa de manera aislada, sino en sinergia con la inflamación sistémica y la activación microglial.</w:t>
      </w:r>
    </w:p>
    <w:p w14:paraId="1E14086F" w14:textId="38FFCC76" w:rsidR="00E35C98" w:rsidRPr="003013DE" w:rsidRDefault="00E35C98" w:rsidP="004A1D0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La disregulación del sistema inmunológico adaptativo constituye otro elemento crítico en la integración de los resultados. El desequilibrio entre linfocitos Th17 proinflamatorios y células T reguladoras favorece la ruptura de la tolerancia inmunológica frente a antígenos del sistema nervioso central. Este mecanismo es particularmente evidente en la esclerosis múltiple, pero también ha sido descrito en Alzheimer y Parkinson. La activación de linfocitos autorreactivos capaces de atravesar una barrera hematoencefálica comprometida amplifica la neuroinflamación y perpetúa el daño neuronal. En este sentido, la disbiosis no solo actúa como desencadenante inflamatorio, sino como modulador profundo de la programación inmunológica sistémica.</w:t>
      </w:r>
    </w:p>
    <w:p w14:paraId="322D0F74" w14:textId="1FA26855" w:rsidR="00E35C98" w:rsidRPr="003013DE" w:rsidRDefault="004A1D03" w:rsidP="004A1D0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Por otra parte, la</w:t>
      </w:r>
      <w:r w:rsidR="00E35C98" w:rsidRPr="003013DE">
        <w:rPr>
          <w:rFonts w:ascii="Times New Roman" w:eastAsiaTheme="minorEastAsia" w:hAnsi="Times New Roman" w:cs="Times New Roman"/>
          <w:sz w:val="24"/>
          <w:szCs w:val="24"/>
          <w:lang w:eastAsia="es-ES"/>
        </w:rPr>
        <w:t xml:space="preserve"> integración de estos mecanismos permite proponer un modelo secuencial y de retroalimentación positiva: la disbiosis intestinal altera la producción de metabolitos beneficiosos y aumenta endotoxinas; esto induce disfunción de la barrera intestinal e inflamación sistémica; la inflamación compromete la barrera hematoencefálica y activa microglía; la activación microglial favorece acumulación proteica patológica; simultáneamente, la inmunidad adaptativa amplifica el proceso; y la vía neural facilita la propagación de señales patológicas. Este circuito explica la naturaleza crónica, progresiva y multifactorial de la neurodegeneración.</w:t>
      </w:r>
    </w:p>
    <w:p w14:paraId="48981C12" w14:textId="348958CD" w:rsidR="00E35C98" w:rsidRPr="003013DE" w:rsidRDefault="00E35C98" w:rsidP="004A1D0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Desde una perspectiva crítica, aunque la coherencia mecanística es sólida y los modelos animales aportan evidencia causal, en humanos predominan estudios observacionales. Persisten limitaciones metodológicas relacionadas con heterogeneidad en técnicas de secuenciación, tamaño muestral reducido y variabilidad en factores dietéticos y ambientales. No obstante, la convergencia de hallazgos en distintas enfermedades neurodegenerativas fortalece la plausibilidad biológica del modelo propuesto.</w:t>
      </w:r>
    </w:p>
    <w:p w14:paraId="6CCA5838" w14:textId="142074BC" w:rsidR="00E35C98" w:rsidRPr="003013DE" w:rsidRDefault="00E35C98" w:rsidP="004A1D03">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En términos clínicos, los resultados del Objetivo 1 posicionan al microbiota intestinal como un posible biomarcador temprano y como objetivo terapéutico modificable. Intervenciones dirigidas a restaurar la eubiosis podrían potencialmente reducir la inflamación </w:t>
      </w:r>
      <w:r w:rsidRPr="003013DE">
        <w:rPr>
          <w:rFonts w:ascii="Times New Roman" w:eastAsiaTheme="minorEastAsia" w:hAnsi="Times New Roman" w:cs="Times New Roman"/>
          <w:sz w:val="24"/>
          <w:szCs w:val="24"/>
          <w:lang w:eastAsia="es-ES"/>
        </w:rPr>
        <w:lastRenderedPageBreak/>
        <w:t>sistémica, modular la inmunidad adaptativa y limitar la activación microglial. Esto abre una ventana para estrategias preventivas en fases prodrómicas, particularmente en individuos con factores de riesgo.</w:t>
      </w:r>
    </w:p>
    <w:p w14:paraId="24944B24" w14:textId="76EC4971" w:rsidR="00E9253B" w:rsidRPr="003013DE" w:rsidRDefault="004A1D03" w:rsidP="000C18A0">
      <w:pPr>
        <w:spacing w:before="100" w:beforeAutospacing="1" w:after="100" w:afterAutospacing="1" w:line="360" w:lineRule="auto"/>
        <w:ind w:firstLine="708"/>
        <w:jc w:val="both"/>
        <w:rPr>
          <w:rFonts w:ascii="Times New Roman" w:eastAsiaTheme="minorEastAsia" w:hAnsi="Times New Roman" w:cs="Times New Roman"/>
          <w:sz w:val="24"/>
          <w:szCs w:val="24"/>
          <w:lang w:eastAsia="es-ES"/>
        </w:rPr>
      </w:pPr>
      <w:r w:rsidRPr="003013DE">
        <w:rPr>
          <w:rFonts w:ascii="Times New Roman" w:eastAsiaTheme="minorEastAsia" w:hAnsi="Times New Roman" w:cs="Times New Roman"/>
          <w:sz w:val="24"/>
          <w:szCs w:val="24"/>
          <w:lang w:eastAsia="es-ES"/>
        </w:rPr>
        <w:t xml:space="preserve">Finalmente, se </w:t>
      </w:r>
      <w:r w:rsidR="00E35C98" w:rsidRPr="003013DE">
        <w:rPr>
          <w:rFonts w:ascii="Times New Roman" w:eastAsiaTheme="minorEastAsia" w:hAnsi="Times New Roman" w:cs="Times New Roman"/>
          <w:sz w:val="24"/>
          <w:szCs w:val="24"/>
          <w:lang w:eastAsia="es-ES"/>
        </w:rPr>
        <w:t>confirma que el eje intestino–cerebro desempeña un papel fundamental en la fisiopatología de las enfermedades neurodegenerativas. La disbiosis intestinal actúa como punto de partida de una cascada inmunometabólica y neural que converge en neuroinflamación crónica y degeneración neuronal progresiva. Estos hallazgos respaldan la hipótesis planteada en el marco teórico y consolidan la relevancia del intestino como componente central en la comprensión contemporánea de la neurodegeneración.</w:t>
      </w:r>
    </w:p>
    <w:p w14:paraId="6618CFC9" w14:textId="36F42B13" w:rsidR="00482599" w:rsidRPr="003013DE" w:rsidRDefault="00482599" w:rsidP="001D7450">
      <w:pPr>
        <w:pStyle w:val="Textocomentario"/>
        <w:numPr>
          <w:ilvl w:val="1"/>
          <w:numId w:val="27"/>
        </w:numPr>
        <w:spacing w:line="360" w:lineRule="auto"/>
        <w:jc w:val="both"/>
        <w:outlineLvl w:val="0"/>
        <w:rPr>
          <w:rFonts w:ascii="Times New Roman" w:hAnsi="Times New Roman" w:cs="Times New Roman"/>
          <w:b/>
          <w:bCs/>
          <w:sz w:val="24"/>
          <w:szCs w:val="24"/>
          <w:lang w:val="es-ES"/>
        </w:rPr>
      </w:pPr>
      <w:bookmarkStart w:id="137" w:name="_Toc223177216"/>
      <w:r w:rsidRPr="003013DE">
        <w:rPr>
          <w:rFonts w:ascii="Times New Roman" w:eastAsia="Times New Roman" w:hAnsi="Times New Roman" w:cs="Times New Roman"/>
          <w:b/>
          <w:bCs/>
          <w:sz w:val="24"/>
          <w:szCs w:val="24"/>
          <w:lang w:eastAsia="es-ES"/>
        </w:rPr>
        <w:t>Objetiv</w:t>
      </w:r>
      <w:r w:rsidR="005E14B4" w:rsidRPr="003013DE">
        <w:rPr>
          <w:rFonts w:ascii="Times New Roman" w:eastAsia="Times New Roman" w:hAnsi="Times New Roman" w:cs="Times New Roman"/>
          <w:b/>
          <w:bCs/>
          <w:sz w:val="24"/>
          <w:szCs w:val="24"/>
          <w:lang w:eastAsia="es-ES"/>
        </w:rPr>
        <w:t>o</w:t>
      </w:r>
      <w:r w:rsidRPr="003013DE">
        <w:rPr>
          <w:rFonts w:ascii="Times New Roman" w:eastAsia="Times New Roman" w:hAnsi="Times New Roman" w:cs="Times New Roman"/>
          <w:b/>
          <w:bCs/>
          <w:sz w:val="24"/>
          <w:szCs w:val="24"/>
          <w:lang w:eastAsia="es-ES"/>
        </w:rPr>
        <w:t xml:space="preserve"> 2. Identificar la relación entre alteraciones de la microbiota intestinal y patologías neurodegenerativas como Alzheimer, Parkinson y esclerosis múltiple.</w:t>
      </w:r>
      <w:bookmarkEnd w:id="137"/>
    </w:p>
    <w:p w14:paraId="6222DB4C" w14:textId="016D4CEB" w:rsidR="008D0049" w:rsidRPr="003013DE" w:rsidRDefault="008D0049" w:rsidP="001D7450">
      <w:pPr>
        <w:pStyle w:val="Ttulo2"/>
        <w:rPr>
          <w:rFonts w:ascii="Times New Roman" w:hAnsi="Times New Roman" w:cs="Times New Roman"/>
          <w:b/>
          <w:bCs/>
          <w:color w:val="auto"/>
          <w:sz w:val="24"/>
          <w:szCs w:val="24"/>
          <w:lang w:val="es-ES"/>
        </w:rPr>
      </w:pPr>
      <w:bookmarkStart w:id="138" w:name="_Toc223177217"/>
      <w:r w:rsidRPr="003013DE">
        <w:rPr>
          <w:rFonts w:ascii="Times New Roman" w:hAnsi="Times New Roman" w:cs="Times New Roman"/>
          <w:b/>
          <w:bCs/>
          <w:color w:val="auto"/>
          <w:sz w:val="24"/>
          <w:szCs w:val="24"/>
          <w:lang w:val="es-ES"/>
        </w:rPr>
        <w:t>4.2.1 Relaci</w:t>
      </w:r>
      <w:r w:rsidRPr="003013DE">
        <w:rPr>
          <w:rFonts w:ascii="Times New Roman" w:hAnsi="Times New Roman" w:cs="Times New Roman" w:hint="eastAsia"/>
          <w:b/>
          <w:bCs/>
          <w:color w:val="auto"/>
          <w:sz w:val="24"/>
          <w:szCs w:val="24"/>
          <w:lang w:val="es-ES"/>
        </w:rPr>
        <w:t>ó</w:t>
      </w:r>
      <w:r w:rsidRPr="003013DE">
        <w:rPr>
          <w:rFonts w:ascii="Times New Roman" w:hAnsi="Times New Roman" w:cs="Times New Roman"/>
          <w:b/>
          <w:bCs/>
          <w:color w:val="auto"/>
          <w:sz w:val="24"/>
          <w:szCs w:val="24"/>
          <w:lang w:val="es-ES"/>
        </w:rPr>
        <w:t>n entre alteraciones de la microbiota intestinal y Enfermedad de Alzheimer</w:t>
      </w:r>
      <w:bookmarkEnd w:id="138"/>
    </w:p>
    <w:p w14:paraId="3C1DD165" w14:textId="49A1AF1C" w:rsidR="008D0049" w:rsidRPr="003013DE" w:rsidRDefault="008D0049" w:rsidP="008D0049">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La enfermedad de Alzheimer (EA) es una patolog</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a neurodegenerativa progresiva y multifactorial caracterizada por la p</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rdida de memoria, deterioro cognitivo, formaci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 xml:space="preserve">n de placas extracelulares de </w:t>
      </w:r>
      <w:r w:rsidRPr="003013DE">
        <w:rPr>
          <w:rFonts w:ascii="Times New Roman" w:hAnsi="Times New Roman" w:cs="Times New Roman" w:hint="eastAsia"/>
          <w:sz w:val="24"/>
          <w:szCs w:val="24"/>
          <w:lang w:val="es-ES"/>
        </w:rPr>
        <w:t>β</w:t>
      </w:r>
      <w:r w:rsidRPr="003013DE">
        <w:rPr>
          <w:rFonts w:ascii="Times New Roman" w:hAnsi="Times New Roman" w:cs="Times New Roman"/>
          <w:sz w:val="24"/>
          <w:szCs w:val="24"/>
          <w:lang w:val="es-ES"/>
        </w:rPr>
        <w:t>-amiloide (A</w:t>
      </w:r>
      <w:r w:rsidRPr="003013DE">
        <w:rPr>
          <w:rFonts w:ascii="Times New Roman" w:hAnsi="Times New Roman" w:cs="Times New Roman" w:hint="eastAsia"/>
          <w:sz w:val="24"/>
          <w:szCs w:val="24"/>
          <w:lang w:val="es-ES"/>
        </w:rPr>
        <w:t>β</w:t>
      </w:r>
      <w:r w:rsidRPr="003013DE">
        <w:rPr>
          <w:rFonts w:ascii="Times New Roman" w:hAnsi="Times New Roman" w:cs="Times New Roman"/>
          <w:sz w:val="24"/>
          <w:szCs w:val="24"/>
          <w:lang w:val="es-ES"/>
        </w:rPr>
        <w:t xml:space="preserve">) y ovillos neurofibrilares de tau hiperfosforilada. En las </w:t>
      </w:r>
      <w:r w:rsidRPr="003013DE">
        <w:rPr>
          <w:rFonts w:ascii="Times New Roman" w:hAnsi="Times New Roman" w:cs="Times New Roman" w:hint="eastAsia"/>
          <w:sz w:val="24"/>
          <w:szCs w:val="24"/>
          <w:lang w:val="es-ES"/>
        </w:rPr>
        <w:t>ú</w:t>
      </w:r>
      <w:r w:rsidRPr="003013DE">
        <w:rPr>
          <w:rFonts w:ascii="Times New Roman" w:hAnsi="Times New Roman" w:cs="Times New Roman"/>
          <w:sz w:val="24"/>
          <w:szCs w:val="24"/>
          <w:lang w:val="es-ES"/>
        </w:rPr>
        <w:t>ltimas dos d</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cadas, un n</w:t>
      </w:r>
      <w:r w:rsidRPr="003013DE">
        <w:rPr>
          <w:rFonts w:ascii="Times New Roman" w:hAnsi="Times New Roman" w:cs="Times New Roman" w:hint="eastAsia"/>
          <w:sz w:val="24"/>
          <w:szCs w:val="24"/>
          <w:lang w:val="es-ES"/>
        </w:rPr>
        <w:t>ú</w:t>
      </w:r>
      <w:r w:rsidRPr="003013DE">
        <w:rPr>
          <w:rFonts w:ascii="Times New Roman" w:hAnsi="Times New Roman" w:cs="Times New Roman"/>
          <w:sz w:val="24"/>
          <w:szCs w:val="24"/>
          <w:lang w:val="es-ES"/>
        </w:rPr>
        <w:t>mero creciente de publicaciones ha explorado el papel de la microbiota intestinal (MI) como un modulador importante de los procesos fisiopatol</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gicos implicados en la EA, incluyendo la neuroinflamaci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la disfunci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barreras f</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sicas y las alteraciones metab</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licas que conectan el intestino con el cerebro a trav</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s del eje microbiota</w:t>
      </w:r>
      <w:r w:rsidRPr="003013DE">
        <w:rPr>
          <w:rFonts w:ascii="Times New Roman" w:hAnsi="Times New Roman" w:cs="Times New Roman" w:hint="eastAsia"/>
          <w:sz w:val="24"/>
          <w:szCs w:val="24"/>
          <w:lang w:val="es-ES"/>
        </w:rPr>
        <w:t>–</w:t>
      </w:r>
      <w:r w:rsidRPr="003013DE">
        <w:rPr>
          <w:rFonts w:ascii="Times New Roman" w:hAnsi="Times New Roman" w:cs="Times New Roman"/>
          <w:sz w:val="24"/>
          <w:szCs w:val="24"/>
          <w:lang w:val="es-ES"/>
        </w:rPr>
        <w:t>intestino</w:t>
      </w:r>
      <w:r w:rsidRPr="003013DE">
        <w:rPr>
          <w:rFonts w:ascii="Times New Roman" w:hAnsi="Times New Roman" w:cs="Times New Roman" w:hint="eastAsia"/>
          <w:sz w:val="24"/>
          <w:szCs w:val="24"/>
          <w:lang w:val="es-ES"/>
        </w:rPr>
        <w:t>–</w:t>
      </w:r>
      <w:r w:rsidRPr="003013DE">
        <w:rPr>
          <w:rFonts w:ascii="Times New Roman" w:hAnsi="Times New Roman" w:cs="Times New Roman"/>
          <w:sz w:val="24"/>
          <w:szCs w:val="24"/>
          <w:lang w:val="es-ES"/>
        </w:rPr>
        <w:t>cerebro</w:t>
      </w:r>
      <w:r w:rsidR="00BF7D58" w:rsidRPr="003013DE">
        <w:rPr>
          <w:rFonts w:ascii="Times New Roman" w:hAnsi="Times New Roman" w:cs="Times New Roman"/>
          <w:sz w:val="24"/>
          <w:szCs w:val="24"/>
          <w:vertAlign w:val="superscript"/>
          <w:lang w:val="es-ES"/>
        </w:rPr>
        <w:t>102</w:t>
      </w:r>
      <w:r w:rsidRPr="003013DE">
        <w:rPr>
          <w:rFonts w:ascii="Times New Roman" w:hAnsi="Times New Roman" w:cs="Times New Roman"/>
          <w:sz w:val="24"/>
          <w:szCs w:val="24"/>
          <w:lang w:val="es-ES"/>
        </w:rPr>
        <w:t xml:space="preserve">.  </w:t>
      </w:r>
    </w:p>
    <w:p w14:paraId="5EF6E9D4" w14:textId="7385764D" w:rsidR="008D0049" w:rsidRPr="003013DE" w:rsidRDefault="00DB12EE" w:rsidP="001D7450">
      <w:pPr>
        <w:pStyle w:val="Ttulo2"/>
        <w:rPr>
          <w:rFonts w:ascii="Times New Roman" w:hAnsi="Times New Roman" w:cs="Times New Roman"/>
          <w:b/>
          <w:bCs/>
          <w:color w:val="auto"/>
          <w:sz w:val="24"/>
          <w:szCs w:val="24"/>
          <w:lang w:val="es-ES"/>
        </w:rPr>
      </w:pPr>
      <w:bookmarkStart w:id="139" w:name="_Toc223177218"/>
      <w:r w:rsidRPr="003013DE">
        <w:rPr>
          <w:rFonts w:ascii="Times New Roman" w:hAnsi="Times New Roman" w:cs="Times New Roman"/>
          <w:b/>
          <w:bCs/>
          <w:color w:val="auto"/>
          <w:sz w:val="24"/>
          <w:szCs w:val="24"/>
          <w:lang w:val="es-ES"/>
        </w:rPr>
        <w:t xml:space="preserve">4.2.2 </w:t>
      </w:r>
      <w:r w:rsidR="008D0049" w:rsidRPr="003013DE">
        <w:rPr>
          <w:rFonts w:ascii="Times New Roman" w:hAnsi="Times New Roman" w:cs="Times New Roman"/>
          <w:b/>
          <w:bCs/>
          <w:color w:val="auto"/>
          <w:sz w:val="24"/>
          <w:szCs w:val="24"/>
          <w:lang w:val="es-ES"/>
        </w:rPr>
        <w:t>Alteraciones estructurales del microbiota en EA</w:t>
      </w:r>
      <w:bookmarkEnd w:id="139"/>
    </w:p>
    <w:p w14:paraId="7FBB4C10" w14:textId="49043805" w:rsidR="008D0049" w:rsidRPr="003013DE" w:rsidRDefault="008D0049" w:rsidP="00DB12EE">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Los estudios cl</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nicos y metaan</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lisis han identificado patrones distintivos de disbiosis intestinal en pacientes con Alzheimer comparados con controles sanos. Estos incluyen una reducci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general de la diversidad bacteriana (diversidad alfa) y cambios en la composici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los principales filos bacterianos. En particular, se ha observado una disminuci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 xml:space="preserve">n de bacterias consideradas antiinflamatorias o beneficiosas, como Firmicutes, Bifidobacterium y ciertos miembros de Lachnospiraceae, junto con un aumento en la </w:t>
      </w:r>
      <w:r w:rsidRPr="003013DE">
        <w:rPr>
          <w:rFonts w:ascii="Times New Roman" w:hAnsi="Times New Roman" w:cs="Times New Roman"/>
          <w:sz w:val="24"/>
          <w:szCs w:val="24"/>
          <w:lang w:val="es-ES"/>
        </w:rPr>
        <w:lastRenderedPageBreak/>
        <w:t>abundancia relativa de bacterias proinflamatorias pertenecientes a los filos Bacteroidetes y Proteobacteria</w:t>
      </w:r>
      <w:r w:rsidR="00BF7D58" w:rsidRPr="003013DE">
        <w:rPr>
          <w:rFonts w:ascii="Times New Roman" w:hAnsi="Times New Roman" w:cs="Times New Roman"/>
          <w:sz w:val="24"/>
          <w:szCs w:val="24"/>
          <w:vertAlign w:val="superscript"/>
          <w:lang w:val="es-ES"/>
        </w:rPr>
        <w:t>103</w:t>
      </w:r>
      <w:r w:rsidRPr="003013DE">
        <w:rPr>
          <w:rFonts w:ascii="Times New Roman" w:hAnsi="Times New Roman" w:cs="Times New Roman"/>
          <w:sz w:val="24"/>
          <w:szCs w:val="24"/>
          <w:lang w:val="es-ES"/>
        </w:rPr>
        <w:t xml:space="preserve">.  </w:t>
      </w:r>
    </w:p>
    <w:p w14:paraId="4F620C34" w14:textId="1071E77D" w:rsidR="008D0049" w:rsidRPr="003013DE" w:rsidRDefault="008D0049" w:rsidP="008D0049">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Adicionalmente, un </w:t>
      </w:r>
      <w:r w:rsidR="00F16D6C" w:rsidRPr="003013DE">
        <w:rPr>
          <w:rFonts w:ascii="Times New Roman" w:hAnsi="Times New Roman" w:cs="Times New Roman"/>
          <w:sz w:val="24"/>
          <w:szCs w:val="24"/>
          <w:lang w:val="es-ES"/>
        </w:rPr>
        <w:t>metaanálisis</w:t>
      </w:r>
      <w:r w:rsidRPr="003013DE">
        <w:rPr>
          <w:rFonts w:ascii="Times New Roman" w:hAnsi="Times New Roman" w:cs="Times New Roman"/>
          <w:sz w:val="24"/>
          <w:szCs w:val="24"/>
          <w:lang w:val="es-ES"/>
        </w:rPr>
        <w:t xml:space="preserve"> reciente mostr</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 xml:space="preserve"> que ciertos g</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neros como Phascolarctobacterium se elevan en estadios iniciales de deterioro cognitivo leve (MCI), sugiriendo que la disbiosis intestinal puede iniciarse en fases prodr</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micas de EA incluso antes del diagn</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stico cl</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nico definitivo.   Esto es consistente con la idea de que la EA, similar a otras condiciones neurodegenerativas, puede estar precedida por cambios perif</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ricos tempranos en la microbiota</w:t>
      </w:r>
      <w:r w:rsidR="00BF7D58" w:rsidRPr="003013DE">
        <w:rPr>
          <w:rFonts w:ascii="Times New Roman" w:hAnsi="Times New Roman" w:cs="Times New Roman"/>
          <w:sz w:val="24"/>
          <w:szCs w:val="24"/>
          <w:vertAlign w:val="superscript"/>
          <w:lang w:val="es-ES"/>
        </w:rPr>
        <w:t>103</w:t>
      </w:r>
      <w:r w:rsidRPr="003013DE">
        <w:rPr>
          <w:rFonts w:ascii="Times New Roman" w:hAnsi="Times New Roman" w:cs="Times New Roman"/>
          <w:sz w:val="24"/>
          <w:szCs w:val="24"/>
          <w:lang w:val="es-ES"/>
        </w:rPr>
        <w:t>.</w:t>
      </w:r>
    </w:p>
    <w:p w14:paraId="2FAC3704" w14:textId="538FBA7C" w:rsidR="008D0049" w:rsidRPr="003013DE" w:rsidRDefault="00531873" w:rsidP="001D7450">
      <w:pPr>
        <w:pStyle w:val="Ttulo2"/>
        <w:rPr>
          <w:rFonts w:ascii="Times New Roman" w:hAnsi="Times New Roman" w:cs="Times New Roman"/>
          <w:b/>
          <w:bCs/>
          <w:color w:val="auto"/>
          <w:sz w:val="24"/>
          <w:szCs w:val="24"/>
          <w:lang w:val="es-ES"/>
        </w:rPr>
      </w:pPr>
      <w:bookmarkStart w:id="140" w:name="_Toc223177219"/>
      <w:r w:rsidRPr="003013DE">
        <w:rPr>
          <w:rFonts w:ascii="Times New Roman" w:hAnsi="Times New Roman" w:cs="Times New Roman"/>
          <w:b/>
          <w:bCs/>
          <w:color w:val="auto"/>
          <w:sz w:val="24"/>
          <w:szCs w:val="24"/>
          <w:lang w:val="es-ES"/>
        </w:rPr>
        <w:t xml:space="preserve">4.2.3 </w:t>
      </w:r>
      <w:r w:rsidR="008D0049" w:rsidRPr="003013DE">
        <w:rPr>
          <w:rFonts w:ascii="Times New Roman" w:hAnsi="Times New Roman" w:cs="Times New Roman"/>
          <w:b/>
          <w:bCs/>
          <w:color w:val="auto"/>
          <w:sz w:val="24"/>
          <w:szCs w:val="24"/>
          <w:lang w:val="es-ES"/>
        </w:rPr>
        <w:t>Mecanismos fisiopatol</w:t>
      </w:r>
      <w:r w:rsidR="008D0049" w:rsidRPr="003013DE">
        <w:rPr>
          <w:rFonts w:ascii="Times New Roman" w:hAnsi="Times New Roman" w:cs="Times New Roman" w:hint="eastAsia"/>
          <w:b/>
          <w:bCs/>
          <w:color w:val="auto"/>
          <w:sz w:val="24"/>
          <w:szCs w:val="24"/>
          <w:lang w:val="es-ES"/>
        </w:rPr>
        <w:t>ó</w:t>
      </w:r>
      <w:r w:rsidR="008D0049" w:rsidRPr="003013DE">
        <w:rPr>
          <w:rFonts w:ascii="Times New Roman" w:hAnsi="Times New Roman" w:cs="Times New Roman"/>
          <w:b/>
          <w:bCs/>
          <w:color w:val="auto"/>
          <w:sz w:val="24"/>
          <w:szCs w:val="24"/>
          <w:lang w:val="es-ES"/>
        </w:rPr>
        <w:t>gicos vinculados a la disbiosis</w:t>
      </w:r>
      <w:bookmarkEnd w:id="140"/>
    </w:p>
    <w:p w14:paraId="09664A5A" w14:textId="0D7B081F" w:rsidR="008D0049" w:rsidRPr="003013DE" w:rsidRDefault="00531873" w:rsidP="001D7450">
      <w:pPr>
        <w:pStyle w:val="Ttulo3"/>
        <w:rPr>
          <w:rFonts w:ascii="Times New Roman" w:hAnsi="Times New Roman" w:cs="Times New Roman"/>
          <w:b/>
          <w:bCs/>
          <w:color w:val="auto"/>
          <w:sz w:val="24"/>
          <w:szCs w:val="24"/>
          <w:lang w:val="es-ES"/>
        </w:rPr>
      </w:pPr>
      <w:bookmarkStart w:id="141" w:name="_Toc223177220"/>
      <w:r w:rsidRPr="003013DE">
        <w:rPr>
          <w:rFonts w:ascii="Times New Roman" w:hAnsi="Times New Roman" w:cs="Times New Roman"/>
          <w:b/>
          <w:bCs/>
          <w:color w:val="auto"/>
          <w:sz w:val="24"/>
          <w:szCs w:val="24"/>
          <w:lang w:val="es-ES"/>
        </w:rPr>
        <w:t>4.2.3.1 Barrera</w:t>
      </w:r>
      <w:r w:rsidR="008D0049" w:rsidRPr="003013DE">
        <w:rPr>
          <w:rFonts w:ascii="Times New Roman" w:hAnsi="Times New Roman" w:cs="Times New Roman"/>
          <w:b/>
          <w:bCs/>
          <w:color w:val="auto"/>
          <w:sz w:val="24"/>
          <w:szCs w:val="24"/>
          <w:lang w:val="es-ES"/>
        </w:rPr>
        <w:t xml:space="preserve"> intestinal y neuroinflamaci</w:t>
      </w:r>
      <w:r w:rsidR="008D0049" w:rsidRPr="003013DE">
        <w:rPr>
          <w:rFonts w:ascii="Times New Roman" w:hAnsi="Times New Roman" w:cs="Times New Roman" w:hint="eastAsia"/>
          <w:b/>
          <w:bCs/>
          <w:color w:val="auto"/>
          <w:sz w:val="24"/>
          <w:szCs w:val="24"/>
          <w:lang w:val="es-ES"/>
        </w:rPr>
        <w:t>ó</w:t>
      </w:r>
      <w:r w:rsidR="008D0049" w:rsidRPr="003013DE">
        <w:rPr>
          <w:rFonts w:ascii="Times New Roman" w:hAnsi="Times New Roman" w:cs="Times New Roman"/>
          <w:b/>
          <w:bCs/>
          <w:color w:val="auto"/>
          <w:sz w:val="24"/>
          <w:szCs w:val="24"/>
          <w:lang w:val="es-ES"/>
        </w:rPr>
        <w:t>n</w:t>
      </w:r>
      <w:bookmarkEnd w:id="141"/>
    </w:p>
    <w:p w14:paraId="7588D28C" w14:textId="3F26B9EC" w:rsidR="008D0049" w:rsidRPr="003013DE" w:rsidRDefault="008D0049" w:rsidP="00531873">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La disbiosis intestinal se asocia con un aumento de la permeabilidad de la mucosa intestinal, facilitando la translocaci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metabolitos bacterianos, lipopolisac</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ridos (LPS) y otras mol</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culas proinflamatorias al sistema circulatorio. Estos productos microbianos pueden activar c</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lulas inmunitarias perif</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ricas e incrementar la producci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citocinas proinflamatorias (IL-1</w:t>
      </w:r>
      <w:r w:rsidRPr="003013DE">
        <w:rPr>
          <w:rFonts w:ascii="Times New Roman" w:hAnsi="Times New Roman" w:cs="Times New Roman" w:hint="eastAsia"/>
          <w:sz w:val="24"/>
          <w:szCs w:val="24"/>
          <w:lang w:val="es-ES"/>
        </w:rPr>
        <w:t>β</w:t>
      </w:r>
      <w:r w:rsidRPr="003013DE">
        <w:rPr>
          <w:rFonts w:ascii="Times New Roman" w:hAnsi="Times New Roman" w:cs="Times New Roman"/>
          <w:sz w:val="24"/>
          <w:szCs w:val="24"/>
          <w:lang w:val="es-ES"/>
        </w:rPr>
        <w:t>, IL-6, TNF-</w:t>
      </w:r>
      <w:r w:rsidRPr="003013DE">
        <w:rPr>
          <w:rFonts w:ascii="Times New Roman" w:hAnsi="Times New Roman" w:cs="Times New Roman" w:hint="eastAsia"/>
          <w:sz w:val="24"/>
          <w:szCs w:val="24"/>
          <w:lang w:val="es-ES"/>
        </w:rPr>
        <w:t>α</w:t>
      </w:r>
      <w:r w:rsidRPr="003013DE">
        <w:rPr>
          <w:rFonts w:ascii="Times New Roman" w:hAnsi="Times New Roman" w:cs="Times New Roman"/>
          <w:sz w:val="24"/>
          <w:szCs w:val="24"/>
          <w:lang w:val="es-ES"/>
        </w:rPr>
        <w:t>), lo que promueve un estado de inflamaci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sist</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mica de bajo grado que da</w:t>
      </w:r>
      <w:r w:rsidRPr="003013DE">
        <w:rPr>
          <w:rFonts w:ascii="Times New Roman" w:hAnsi="Times New Roman" w:cs="Times New Roman" w:hint="eastAsia"/>
          <w:sz w:val="24"/>
          <w:szCs w:val="24"/>
          <w:lang w:val="es-ES"/>
        </w:rPr>
        <w:t>ñ</w:t>
      </w:r>
      <w:r w:rsidRPr="003013DE">
        <w:rPr>
          <w:rFonts w:ascii="Times New Roman" w:hAnsi="Times New Roman" w:cs="Times New Roman"/>
          <w:sz w:val="24"/>
          <w:szCs w:val="24"/>
          <w:lang w:val="es-ES"/>
        </w:rPr>
        <w:t>a la barrera hematoencef</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lica y facilita la entrada de mediadores inflamatorios al cerebro</w:t>
      </w:r>
      <w:r w:rsidR="00B21D40" w:rsidRPr="003013DE">
        <w:rPr>
          <w:rFonts w:ascii="Times New Roman" w:hAnsi="Times New Roman" w:cs="Times New Roman"/>
          <w:sz w:val="24"/>
          <w:szCs w:val="24"/>
          <w:vertAlign w:val="superscript"/>
          <w:lang w:val="es-ES"/>
        </w:rPr>
        <w:t>104</w:t>
      </w:r>
      <w:r w:rsidRPr="003013DE">
        <w:rPr>
          <w:rFonts w:ascii="Times New Roman" w:hAnsi="Times New Roman" w:cs="Times New Roman"/>
          <w:sz w:val="24"/>
          <w:szCs w:val="24"/>
          <w:lang w:val="es-ES"/>
        </w:rPr>
        <w:t xml:space="preserve">. </w:t>
      </w:r>
    </w:p>
    <w:p w14:paraId="1D02316F" w14:textId="758563A0" w:rsidR="008D0049" w:rsidRPr="003013DE" w:rsidRDefault="008D0049" w:rsidP="008D0049">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En la EA, estos procesos pueden favorecer la activaci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cr</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nica de la microgl</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a y potenciar la deposici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A</w:t>
      </w:r>
      <w:r w:rsidRPr="003013DE">
        <w:rPr>
          <w:rFonts w:ascii="Times New Roman" w:hAnsi="Times New Roman" w:cs="Times New Roman" w:hint="eastAsia"/>
          <w:sz w:val="24"/>
          <w:szCs w:val="24"/>
          <w:lang w:val="es-ES"/>
        </w:rPr>
        <w:t>β</w:t>
      </w:r>
      <w:r w:rsidRPr="003013DE">
        <w:rPr>
          <w:rFonts w:ascii="Times New Roman" w:hAnsi="Times New Roman" w:cs="Times New Roman"/>
          <w:sz w:val="24"/>
          <w:szCs w:val="24"/>
          <w:lang w:val="es-ES"/>
        </w:rPr>
        <w:t xml:space="preserve"> y la fosforilaci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tau, creando un ciclo continuo de neuroinflamaci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que acelera la neurodegeneraci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w:t>
      </w:r>
      <w:r w:rsidR="00B21D40" w:rsidRPr="003013DE">
        <w:rPr>
          <w:rFonts w:ascii="Times New Roman" w:hAnsi="Times New Roman" w:cs="Times New Roman"/>
          <w:sz w:val="24"/>
          <w:szCs w:val="24"/>
          <w:vertAlign w:val="superscript"/>
          <w:lang w:val="es-ES"/>
        </w:rPr>
        <w:t>104</w:t>
      </w:r>
      <w:r w:rsidRPr="003013DE">
        <w:rPr>
          <w:rFonts w:ascii="Times New Roman" w:hAnsi="Times New Roman" w:cs="Times New Roman"/>
          <w:sz w:val="24"/>
          <w:szCs w:val="24"/>
          <w:lang w:val="es-ES"/>
        </w:rPr>
        <w:t xml:space="preserve">. </w:t>
      </w:r>
    </w:p>
    <w:p w14:paraId="447C16F4" w14:textId="5B0357F0" w:rsidR="008D0049" w:rsidRPr="003013DE" w:rsidRDefault="00531873" w:rsidP="001D7450">
      <w:pPr>
        <w:pStyle w:val="Ttulo3"/>
        <w:rPr>
          <w:rFonts w:ascii="Times New Roman" w:hAnsi="Times New Roman" w:cs="Times New Roman"/>
          <w:b/>
          <w:bCs/>
          <w:color w:val="auto"/>
          <w:sz w:val="24"/>
          <w:szCs w:val="24"/>
          <w:lang w:val="es-ES"/>
        </w:rPr>
      </w:pPr>
      <w:bookmarkStart w:id="142" w:name="_Toc223177221"/>
      <w:r w:rsidRPr="003013DE">
        <w:rPr>
          <w:rFonts w:ascii="Times New Roman" w:hAnsi="Times New Roman" w:cs="Times New Roman"/>
          <w:b/>
          <w:bCs/>
          <w:color w:val="auto"/>
          <w:sz w:val="24"/>
          <w:szCs w:val="24"/>
          <w:lang w:val="es-ES"/>
        </w:rPr>
        <w:t xml:space="preserve">4.2.3.2 </w:t>
      </w:r>
      <w:r w:rsidR="008D0049" w:rsidRPr="003013DE">
        <w:rPr>
          <w:rFonts w:ascii="Times New Roman" w:hAnsi="Times New Roman" w:cs="Times New Roman"/>
          <w:b/>
          <w:bCs/>
          <w:color w:val="auto"/>
          <w:sz w:val="24"/>
          <w:szCs w:val="24"/>
          <w:lang w:val="es-ES"/>
        </w:rPr>
        <w:t>Alteraci</w:t>
      </w:r>
      <w:r w:rsidR="008D0049" w:rsidRPr="003013DE">
        <w:rPr>
          <w:rFonts w:ascii="Times New Roman" w:hAnsi="Times New Roman" w:cs="Times New Roman" w:hint="eastAsia"/>
          <w:b/>
          <w:bCs/>
          <w:color w:val="auto"/>
          <w:sz w:val="24"/>
          <w:szCs w:val="24"/>
          <w:lang w:val="es-ES"/>
        </w:rPr>
        <w:t>ó</w:t>
      </w:r>
      <w:r w:rsidR="008D0049" w:rsidRPr="003013DE">
        <w:rPr>
          <w:rFonts w:ascii="Times New Roman" w:hAnsi="Times New Roman" w:cs="Times New Roman"/>
          <w:b/>
          <w:bCs/>
          <w:color w:val="auto"/>
          <w:sz w:val="24"/>
          <w:szCs w:val="24"/>
          <w:lang w:val="es-ES"/>
        </w:rPr>
        <w:t>n de metabolitos bacterianos neuroactivos</w:t>
      </w:r>
      <w:bookmarkEnd w:id="142"/>
    </w:p>
    <w:p w14:paraId="1DA8064A" w14:textId="2E84D07F" w:rsidR="008D0049" w:rsidRPr="003013DE" w:rsidRDefault="008D0049" w:rsidP="00531873">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Otra l</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nea de evidencia indica que la disbiosis afecta la producci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 xml:space="preserve">n de metabolitos bacterianos con roles neuroprotectores, como los </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cidos grasos de cadena corta (AGCC) particularmente el butirato</w:t>
      </w:r>
      <w:r w:rsidR="00531873" w:rsidRPr="003013DE">
        <w:rPr>
          <w:rFonts w:ascii="Times New Roman" w:hAnsi="Times New Roman" w:cs="Times New Roman"/>
          <w:sz w:val="24"/>
          <w:szCs w:val="24"/>
          <w:lang w:val="es-ES"/>
        </w:rPr>
        <w:t xml:space="preserve"> </w:t>
      </w:r>
      <w:r w:rsidRPr="003013DE">
        <w:rPr>
          <w:rFonts w:ascii="Times New Roman" w:hAnsi="Times New Roman" w:cs="Times New Roman"/>
          <w:sz w:val="24"/>
          <w:szCs w:val="24"/>
          <w:lang w:val="es-ES"/>
        </w:rPr>
        <w:t>que ejercen efectos antiinflamatorios y fortalecen la funci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barreras. En la EA, se observan niveles reducidos de estos metabolitos, lo que puede contribuir tanto a la inflamaci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como a la disfunci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sin</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ptica</w:t>
      </w:r>
      <w:r w:rsidR="00B21D40" w:rsidRPr="003013DE">
        <w:rPr>
          <w:rFonts w:ascii="Times New Roman" w:hAnsi="Times New Roman" w:cs="Times New Roman"/>
          <w:sz w:val="24"/>
          <w:szCs w:val="24"/>
          <w:vertAlign w:val="superscript"/>
          <w:lang w:val="es-ES"/>
        </w:rPr>
        <w:t>105</w:t>
      </w:r>
      <w:r w:rsidRPr="003013DE">
        <w:rPr>
          <w:rFonts w:ascii="Times New Roman" w:hAnsi="Times New Roman" w:cs="Times New Roman"/>
          <w:sz w:val="24"/>
          <w:szCs w:val="24"/>
          <w:lang w:val="es-ES"/>
        </w:rPr>
        <w:t xml:space="preserve">.  </w:t>
      </w:r>
    </w:p>
    <w:p w14:paraId="520602B3" w14:textId="289E1E7B" w:rsidR="008D0049" w:rsidRPr="003013DE" w:rsidRDefault="008D0049" w:rsidP="008D0049">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Adem</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s, alteraciones en el metabolismo de tript</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fano y otros compuestos producidos por la microbiota pueden influir en la s</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 xml:space="preserve">ntesis de neurotransmisores y rutas </w:t>
      </w:r>
      <w:r w:rsidRPr="003013DE">
        <w:rPr>
          <w:rFonts w:ascii="Times New Roman" w:hAnsi="Times New Roman" w:cs="Times New Roman"/>
          <w:sz w:val="24"/>
          <w:szCs w:val="24"/>
          <w:lang w:val="es-ES"/>
        </w:rPr>
        <w:lastRenderedPageBreak/>
        <w:t>neuroendocrinas implicadas en la plasticidad sin</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ptica y la cognici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factores cr</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ticamente afectados en la EA</w:t>
      </w:r>
      <w:r w:rsidR="00B21D40" w:rsidRPr="003013DE">
        <w:rPr>
          <w:rFonts w:ascii="Times New Roman" w:hAnsi="Times New Roman" w:cs="Times New Roman"/>
          <w:sz w:val="24"/>
          <w:szCs w:val="24"/>
          <w:vertAlign w:val="superscript"/>
          <w:lang w:val="es-ES"/>
        </w:rPr>
        <w:t>105</w:t>
      </w:r>
      <w:r w:rsidRPr="003013DE">
        <w:rPr>
          <w:rFonts w:ascii="Times New Roman" w:hAnsi="Times New Roman" w:cs="Times New Roman"/>
          <w:sz w:val="24"/>
          <w:szCs w:val="24"/>
          <w:lang w:val="es-ES"/>
        </w:rPr>
        <w:t>.</w:t>
      </w:r>
    </w:p>
    <w:p w14:paraId="2F798E05" w14:textId="3B832BF3" w:rsidR="008D0049" w:rsidRPr="003013DE" w:rsidRDefault="00531873" w:rsidP="001D7450">
      <w:pPr>
        <w:pStyle w:val="Ttulo3"/>
        <w:rPr>
          <w:rFonts w:ascii="Times New Roman" w:hAnsi="Times New Roman" w:cs="Times New Roman"/>
          <w:b/>
          <w:bCs/>
          <w:color w:val="auto"/>
          <w:sz w:val="24"/>
          <w:szCs w:val="24"/>
          <w:lang w:val="es-ES"/>
        </w:rPr>
      </w:pPr>
      <w:bookmarkStart w:id="143" w:name="_Toc223177222"/>
      <w:r w:rsidRPr="003013DE">
        <w:rPr>
          <w:rFonts w:ascii="Times New Roman" w:hAnsi="Times New Roman" w:cs="Times New Roman"/>
          <w:b/>
          <w:bCs/>
          <w:color w:val="auto"/>
          <w:sz w:val="24"/>
          <w:szCs w:val="24"/>
          <w:lang w:val="es-ES"/>
        </w:rPr>
        <w:t xml:space="preserve">4.2.3.3 </w:t>
      </w:r>
      <w:r w:rsidR="008D0049" w:rsidRPr="003013DE">
        <w:rPr>
          <w:rFonts w:ascii="Times New Roman" w:hAnsi="Times New Roman" w:cs="Times New Roman"/>
          <w:b/>
          <w:bCs/>
          <w:color w:val="auto"/>
          <w:sz w:val="24"/>
          <w:szCs w:val="24"/>
          <w:lang w:val="es-ES"/>
        </w:rPr>
        <w:t>Producci</w:t>
      </w:r>
      <w:r w:rsidR="008D0049" w:rsidRPr="003013DE">
        <w:rPr>
          <w:rFonts w:ascii="Times New Roman" w:hAnsi="Times New Roman" w:cs="Times New Roman" w:hint="eastAsia"/>
          <w:b/>
          <w:bCs/>
          <w:color w:val="auto"/>
          <w:sz w:val="24"/>
          <w:szCs w:val="24"/>
          <w:lang w:val="es-ES"/>
        </w:rPr>
        <w:t>ó</w:t>
      </w:r>
      <w:r w:rsidR="008D0049" w:rsidRPr="003013DE">
        <w:rPr>
          <w:rFonts w:ascii="Times New Roman" w:hAnsi="Times New Roman" w:cs="Times New Roman"/>
          <w:b/>
          <w:bCs/>
          <w:color w:val="auto"/>
          <w:sz w:val="24"/>
          <w:szCs w:val="24"/>
          <w:lang w:val="es-ES"/>
        </w:rPr>
        <w:t>n de amyloides bacterianos</w:t>
      </w:r>
      <w:bookmarkEnd w:id="143"/>
    </w:p>
    <w:p w14:paraId="53A9226E" w14:textId="1CC4127A" w:rsidR="008D0049" w:rsidRPr="003013DE" w:rsidRDefault="008D0049" w:rsidP="0018107F">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M</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s compleja es la evidencia que sugiere que algunas bacterias intestinales pueden producir prote</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nas amiloides bacterianas que act</w:t>
      </w:r>
      <w:r w:rsidRPr="003013DE">
        <w:rPr>
          <w:rFonts w:ascii="Times New Roman" w:hAnsi="Times New Roman" w:cs="Times New Roman" w:hint="eastAsia"/>
          <w:sz w:val="24"/>
          <w:szCs w:val="24"/>
          <w:lang w:val="es-ES"/>
        </w:rPr>
        <w:t>ú</w:t>
      </w:r>
      <w:r w:rsidRPr="003013DE">
        <w:rPr>
          <w:rFonts w:ascii="Times New Roman" w:hAnsi="Times New Roman" w:cs="Times New Roman"/>
          <w:sz w:val="24"/>
          <w:szCs w:val="24"/>
          <w:lang w:val="es-ES"/>
        </w:rPr>
        <w:t>an como mol</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culas indi</w:t>
      </w:r>
      <w:r w:rsidRPr="003013DE">
        <w:rPr>
          <w:rFonts w:ascii="Times New Roman" w:hAnsi="Times New Roman" w:cs="Times New Roman" w:hint="eastAsia"/>
          <w:sz w:val="24"/>
          <w:szCs w:val="24"/>
          <w:lang w:val="es-ES"/>
        </w:rPr>
        <w:t>­</w:t>
      </w:r>
      <w:r w:rsidRPr="003013DE">
        <w:rPr>
          <w:rFonts w:ascii="Times New Roman" w:hAnsi="Times New Roman" w:cs="Times New Roman"/>
          <w:sz w:val="24"/>
          <w:szCs w:val="24"/>
          <w:lang w:val="es-ES"/>
        </w:rPr>
        <w:t>rectas capaces de cruzar la barrera hematoencef</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lica y favorecer el plegamiento aberrante de prote</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nas humanas, ampliando la carga de agregados amiloides en el sistema nervioso.   Aunque este mecanismo a</w:t>
      </w:r>
      <w:r w:rsidRPr="003013DE">
        <w:rPr>
          <w:rFonts w:ascii="Times New Roman" w:hAnsi="Times New Roman" w:cs="Times New Roman" w:hint="eastAsia"/>
          <w:sz w:val="24"/>
          <w:szCs w:val="24"/>
          <w:lang w:val="es-ES"/>
        </w:rPr>
        <w:t>ú</w:t>
      </w:r>
      <w:r w:rsidRPr="003013DE">
        <w:rPr>
          <w:rFonts w:ascii="Times New Roman" w:hAnsi="Times New Roman" w:cs="Times New Roman"/>
          <w:sz w:val="24"/>
          <w:szCs w:val="24"/>
          <w:lang w:val="es-ES"/>
        </w:rPr>
        <w:t>n se encuentra en fase investigativa, apoya la noci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que los productos microbianos no solo causan inflamaci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sino que tambi</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n podr</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an influir directamente en la fisiopatolog</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a molecular de la EA</w:t>
      </w:r>
      <w:r w:rsidR="00B21D40" w:rsidRPr="003013DE">
        <w:rPr>
          <w:rFonts w:ascii="Times New Roman" w:hAnsi="Times New Roman" w:cs="Times New Roman"/>
          <w:sz w:val="24"/>
          <w:szCs w:val="24"/>
          <w:vertAlign w:val="superscript"/>
          <w:lang w:val="es-ES"/>
        </w:rPr>
        <w:t>106</w:t>
      </w:r>
      <w:r w:rsidRPr="003013DE">
        <w:rPr>
          <w:rFonts w:ascii="Times New Roman" w:hAnsi="Times New Roman" w:cs="Times New Roman"/>
          <w:sz w:val="24"/>
          <w:szCs w:val="24"/>
          <w:lang w:val="es-ES"/>
        </w:rPr>
        <w:t>.</w:t>
      </w:r>
    </w:p>
    <w:p w14:paraId="6C7ABCED" w14:textId="5FA9C037" w:rsidR="008D0049" w:rsidRPr="003013DE" w:rsidRDefault="0018107F" w:rsidP="001D7450">
      <w:pPr>
        <w:pStyle w:val="Ttulo2"/>
        <w:rPr>
          <w:rFonts w:ascii="Times New Roman" w:hAnsi="Times New Roman" w:cs="Times New Roman"/>
          <w:b/>
          <w:bCs/>
          <w:color w:val="auto"/>
          <w:sz w:val="24"/>
          <w:szCs w:val="24"/>
          <w:lang w:val="es-ES"/>
        </w:rPr>
      </w:pPr>
      <w:bookmarkStart w:id="144" w:name="_Toc223177223"/>
      <w:r w:rsidRPr="003013DE">
        <w:rPr>
          <w:rFonts w:ascii="Times New Roman" w:hAnsi="Times New Roman" w:cs="Times New Roman"/>
          <w:b/>
          <w:bCs/>
          <w:color w:val="auto"/>
          <w:sz w:val="24"/>
          <w:szCs w:val="24"/>
          <w:lang w:val="es-ES"/>
        </w:rPr>
        <w:t xml:space="preserve">4.2.4 </w:t>
      </w:r>
      <w:r w:rsidR="008D0049" w:rsidRPr="003013DE">
        <w:rPr>
          <w:rFonts w:ascii="Times New Roman" w:hAnsi="Times New Roman" w:cs="Times New Roman"/>
          <w:b/>
          <w:bCs/>
          <w:color w:val="auto"/>
          <w:sz w:val="24"/>
          <w:szCs w:val="24"/>
          <w:lang w:val="es-ES"/>
        </w:rPr>
        <w:t>Relaci</w:t>
      </w:r>
      <w:r w:rsidR="008D0049" w:rsidRPr="003013DE">
        <w:rPr>
          <w:rFonts w:ascii="Times New Roman" w:hAnsi="Times New Roman" w:cs="Times New Roman" w:hint="eastAsia"/>
          <w:b/>
          <w:bCs/>
          <w:color w:val="auto"/>
          <w:sz w:val="24"/>
          <w:szCs w:val="24"/>
          <w:lang w:val="es-ES"/>
        </w:rPr>
        <w:t>ó</w:t>
      </w:r>
      <w:r w:rsidR="008D0049" w:rsidRPr="003013DE">
        <w:rPr>
          <w:rFonts w:ascii="Times New Roman" w:hAnsi="Times New Roman" w:cs="Times New Roman"/>
          <w:b/>
          <w:bCs/>
          <w:color w:val="auto"/>
          <w:sz w:val="24"/>
          <w:szCs w:val="24"/>
          <w:lang w:val="es-ES"/>
        </w:rPr>
        <w:t>n entre disbiosis, biomarcadores cl</w:t>
      </w:r>
      <w:r w:rsidR="008D0049" w:rsidRPr="003013DE">
        <w:rPr>
          <w:rFonts w:ascii="Times New Roman" w:hAnsi="Times New Roman" w:cs="Times New Roman" w:hint="eastAsia"/>
          <w:b/>
          <w:bCs/>
          <w:color w:val="auto"/>
          <w:sz w:val="24"/>
          <w:szCs w:val="24"/>
          <w:lang w:val="es-ES"/>
        </w:rPr>
        <w:t>í</w:t>
      </w:r>
      <w:r w:rsidR="008D0049" w:rsidRPr="003013DE">
        <w:rPr>
          <w:rFonts w:ascii="Times New Roman" w:hAnsi="Times New Roman" w:cs="Times New Roman"/>
          <w:b/>
          <w:bCs/>
          <w:color w:val="auto"/>
          <w:sz w:val="24"/>
          <w:szCs w:val="24"/>
          <w:lang w:val="es-ES"/>
        </w:rPr>
        <w:t>nicos y progresi</w:t>
      </w:r>
      <w:r w:rsidR="008D0049" w:rsidRPr="003013DE">
        <w:rPr>
          <w:rFonts w:ascii="Times New Roman" w:hAnsi="Times New Roman" w:cs="Times New Roman" w:hint="eastAsia"/>
          <w:b/>
          <w:bCs/>
          <w:color w:val="auto"/>
          <w:sz w:val="24"/>
          <w:szCs w:val="24"/>
          <w:lang w:val="es-ES"/>
        </w:rPr>
        <w:t>ó</w:t>
      </w:r>
      <w:r w:rsidR="008D0049" w:rsidRPr="003013DE">
        <w:rPr>
          <w:rFonts w:ascii="Times New Roman" w:hAnsi="Times New Roman" w:cs="Times New Roman"/>
          <w:b/>
          <w:bCs/>
          <w:color w:val="auto"/>
          <w:sz w:val="24"/>
          <w:szCs w:val="24"/>
          <w:lang w:val="es-ES"/>
        </w:rPr>
        <w:t>n</w:t>
      </w:r>
      <w:bookmarkEnd w:id="144"/>
    </w:p>
    <w:p w14:paraId="3B9C959A" w14:textId="7893F4DB" w:rsidR="008D0049" w:rsidRPr="003013DE" w:rsidRDefault="008D0049" w:rsidP="0018107F">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Tambi</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n se han observado asociaciones entre cambios en la microbiota y pel</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culas de biomarcadores de EA como las tasas de A</w:t>
      </w:r>
      <w:r w:rsidRPr="003013DE">
        <w:rPr>
          <w:rFonts w:ascii="Times New Roman" w:hAnsi="Times New Roman" w:cs="Times New Roman" w:hint="eastAsia"/>
          <w:sz w:val="24"/>
          <w:szCs w:val="24"/>
          <w:lang w:val="es-ES"/>
        </w:rPr>
        <w:t>β</w:t>
      </w:r>
      <w:r w:rsidRPr="003013DE">
        <w:rPr>
          <w:rFonts w:ascii="Times New Roman" w:hAnsi="Times New Roman" w:cs="Times New Roman"/>
          <w:sz w:val="24"/>
          <w:szCs w:val="24"/>
          <w:lang w:val="es-ES"/>
        </w:rPr>
        <w:t>42/A</w:t>
      </w:r>
      <w:r w:rsidRPr="003013DE">
        <w:rPr>
          <w:rFonts w:ascii="Times New Roman" w:hAnsi="Times New Roman" w:cs="Times New Roman" w:hint="eastAsia"/>
          <w:sz w:val="24"/>
          <w:szCs w:val="24"/>
          <w:lang w:val="es-ES"/>
        </w:rPr>
        <w:t>β</w:t>
      </w:r>
      <w:r w:rsidRPr="003013DE">
        <w:rPr>
          <w:rFonts w:ascii="Times New Roman" w:hAnsi="Times New Roman" w:cs="Times New Roman"/>
          <w:sz w:val="24"/>
          <w:szCs w:val="24"/>
          <w:lang w:val="es-ES"/>
        </w:rPr>
        <w:t>40 en el l</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quido cefalorraqu</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deo o niveles de YKL-40, un marcador de neuroinflamaci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lo que sugiere que el microbioma puede influir en procesos centrales de la enfermedad</w:t>
      </w:r>
      <w:r w:rsidR="000840C3" w:rsidRPr="003013DE">
        <w:rPr>
          <w:rFonts w:ascii="Times New Roman" w:hAnsi="Times New Roman" w:cs="Times New Roman"/>
          <w:sz w:val="24"/>
          <w:szCs w:val="24"/>
          <w:vertAlign w:val="superscript"/>
          <w:lang w:val="es-ES"/>
        </w:rPr>
        <w:t>107</w:t>
      </w:r>
      <w:r w:rsidRPr="003013DE">
        <w:rPr>
          <w:rFonts w:ascii="Times New Roman" w:hAnsi="Times New Roman" w:cs="Times New Roman"/>
          <w:sz w:val="24"/>
          <w:szCs w:val="24"/>
          <w:lang w:val="es-ES"/>
        </w:rPr>
        <w:t xml:space="preserve">.  </w:t>
      </w:r>
    </w:p>
    <w:p w14:paraId="59BF43F5" w14:textId="3CBB435C" w:rsidR="008D0049" w:rsidRPr="003013DE" w:rsidRDefault="008D0049" w:rsidP="0018107F">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Por </w:t>
      </w:r>
      <w:r w:rsidRPr="003013DE">
        <w:rPr>
          <w:rFonts w:ascii="Times New Roman" w:hAnsi="Times New Roman" w:cs="Times New Roman" w:hint="eastAsia"/>
          <w:sz w:val="24"/>
          <w:szCs w:val="24"/>
          <w:lang w:val="es-ES"/>
        </w:rPr>
        <w:t>ú</w:t>
      </w:r>
      <w:r w:rsidRPr="003013DE">
        <w:rPr>
          <w:rFonts w:ascii="Times New Roman" w:hAnsi="Times New Roman" w:cs="Times New Roman"/>
          <w:sz w:val="24"/>
          <w:szCs w:val="24"/>
          <w:lang w:val="es-ES"/>
        </w:rPr>
        <w:t>ltimo, la regionalidad influye en los perfiles microbianos observados; por ejemplo, el g</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nero Bacteroides se encuentran aumentado en cohortes de EE. UU. pero reducido en cohortes de China, lo cual podr</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a implicar variaciones geogr</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ficas y diet</w:t>
      </w:r>
      <w:r w:rsidRPr="003013DE">
        <w:rPr>
          <w:rFonts w:ascii="Times New Roman" w:hAnsi="Times New Roman" w:cs="Times New Roman" w:hint="eastAsia"/>
          <w:sz w:val="24"/>
          <w:szCs w:val="24"/>
          <w:lang w:val="es-ES"/>
        </w:rPr>
        <w:t>é</w:t>
      </w:r>
      <w:r w:rsidRPr="003013DE">
        <w:rPr>
          <w:rFonts w:ascii="Times New Roman" w:hAnsi="Times New Roman" w:cs="Times New Roman"/>
          <w:sz w:val="24"/>
          <w:szCs w:val="24"/>
          <w:lang w:val="es-ES"/>
        </w:rPr>
        <w:t>ticas en la interacci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microbiota-EA</w:t>
      </w:r>
      <w:r w:rsidR="000840C3" w:rsidRPr="003013DE">
        <w:rPr>
          <w:rFonts w:ascii="Times New Roman" w:hAnsi="Times New Roman" w:cs="Times New Roman"/>
          <w:sz w:val="24"/>
          <w:szCs w:val="24"/>
          <w:vertAlign w:val="superscript"/>
          <w:lang w:val="es-ES"/>
        </w:rPr>
        <w:t>107</w:t>
      </w:r>
      <w:r w:rsidRPr="003013DE">
        <w:rPr>
          <w:rFonts w:ascii="Times New Roman" w:hAnsi="Times New Roman" w:cs="Times New Roman"/>
          <w:sz w:val="24"/>
          <w:szCs w:val="24"/>
          <w:lang w:val="es-ES"/>
        </w:rPr>
        <w:t xml:space="preserve">. </w:t>
      </w:r>
    </w:p>
    <w:p w14:paraId="2D6ACF8E" w14:textId="75A95579" w:rsidR="006F0CE2" w:rsidRPr="003013DE" w:rsidRDefault="008D0049" w:rsidP="006F0CE2">
      <w:pPr>
        <w:spacing w:line="360" w:lineRule="auto"/>
        <w:ind w:left="360"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La evidencia analizada confirma que la disbiosis intestinal est</w:t>
      </w:r>
      <w:r w:rsidRPr="003013DE">
        <w:rPr>
          <w:rFonts w:ascii="Times New Roman" w:hAnsi="Times New Roman" w:cs="Times New Roman" w:hint="eastAsia"/>
          <w:sz w:val="24"/>
          <w:szCs w:val="24"/>
          <w:lang w:val="es-ES"/>
        </w:rPr>
        <w:t>á</w:t>
      </w:r>
      <w:r w:rsidRPr="003013DE">
        <w:rPr>
          <w:rFonts w:ascii="Times New Roman" w:hAnsi="Times New Roman" w:cs="Times New Roman"/>
          <w:sz w:val="24"/>
          <w:szCs w:val="24"/>
          <w:lang w:val="es-ES"/>
        </w:rPr>
        <w:t xml:space="preserve"> fuertemente asociada con la enfermedad de Alzheimer, afectando m</w:t>
      </w:r>
      <w:r w:rsidRPr="003013DE">
        <w:rPr>
          <w:rFonts w:ascii="Times New Roman" w:hAnsi="Times New Roman" w:cs="Times New Roman" w:hint="eastAsia"/>
          <w:sz w:val="24"/>
          <w:szCs w:val="24"/>
          <w:lang w:val="es-ES"/>
        </w:rPr>
        <w:t>ú</w:t>
      </w:r>
      <w:r w:rsidRPr="003013DE">
        <w:rPr>
          <w:rFonts w:ascii="Times New Roman" w:hAnsi="Times New Roman" w:cs="Times New Roman"/>
          <w:sz w:val="24"/>
          <w:szCs w:val="24"/>
          <w:lang w:val="es-ES"/>
        </w:rPr>
        <w:t>ltiples rutas fisiopatol</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gicas clave. Sin embargo, es importante reconocer que gran parte de la evidencia humana es observacional, lo cual limita la atribuci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causalidad directa. Aun as</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 los estudios experimentales en modelos animales respaldan una relaci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causal plausible. Future investigaciones longitudinales y ensayos cl</w:t>
      </w:r>
      <w:r w:rsidRPr="003013DE">
        <w:rPr>
          <w:rFonts w:ascii="Times New Roman" w:hAnsi="Times New Roman" w:cs="Times New Roman" w:hint="eastAsia"/>
          <w:sz w:val="24"/>
          <w:szCs w:val="24"/>
          <w:lang w:val="es-ES"/>
        </w:rPr>
        <w:t>í</w:t>
      </w:r>
      <w:r w:rsidRPr="003013DE">
        <w:rPr>
          <w:rFonts w:ascii="Times New Roman" w:hAnsi="Times New Roman" w:cs="Times New Roman"/>
          <w:sz w:val="24"/>
          <w:szCs w:val="24"/>
          <w:lang w:val="es-ES"/>
        </w:rPr>
        <w:t>nicos de intervenci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incluyendo modulaciones del microbioma como probi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ticos, prebi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ticos o trasplante fecal, son necesarios para determinar si la modificaci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 xml:space="preserve">n </w:t>
      </w:r>
      <w:r w:rsidR="00820BD6" w:rsidRPr="003013DE">
        <w:rPr>
          <w:rFonts w:ascii="Times New Roman" w:hAnsi="Times New Roman" w:cs="Times New Roman"/>
          <w:sz w:val="24"/>
          <w:szCs w:val="24"/>
          <w:lang w:val="es-ES"/>
        </w:rPr>
        <w:t>de la microbiota</w:t>
      </w:r>
      <w:r w:rsidRPr="003013DE">
        <w:rPr>
          <w:rFonts w:ascii="Times New Roman" w:hAnsi="Times New Roman" w:cs="Times New Roman"/>
          <w:sz w:val="24"/>
          <w:szCs w:val="24"/>
          <w:lang w:val="es-ES"/>
        </w:rPr>
        <w:t xml:space="preserve"> puede prevenir o retardar la progresi</w:t>
      </w:r>
      <w:r w:rsidRPr="003013DE">
        <w:rPr>
          <w:rFonts w:ascii="Times New Roman" w:hAnsi="Times New Roman" w:cs="Times New Roman" w:hint="eastAsia"/>
          <w:sz w:val="24"/>
          <w:szCs w:val="24"/>
          <w:lang w:val="es-ES"/>
        </w:rPr>
        <w:t>ó</w:t>
      </w:r>
      <w:r w:rsidRPr="003013DE">
        <w:rPr>
          <w:rFonts w:ascii="Times New Roman" w:hAnsi="Times New Roman" w:cs="Times New Roman"/>
          <w:sz w:val="24"/>
          <w:szCs w:val="24"/>
          <w:lang w:val="es-ES"/>
        </w:rPr>
        <w:t>n de EA.</w:t>
      </w:r>
    </w:p>
    <w:p w14:paraId="2B1A4C3A" w14:textId="3331255D" w:rsidR="00AC77B1" w:rsidRPr="003013DE" w:rsidRDefault="00AC77B1" w:rsidP="001D7450">
      <w:pPr>
        <w:pStyle w:val="Ttulo2"/>
        <w:rPr>
          <w:rFonts w:ascii="Times New Roman" w:hAnsi="Times New Roman" w:cs="Times New Roman"/>
          <w:b/>
          <w:bCs/>
          <w:color w:val="auto"/>
          <w:sz w:val="24"/>
          <w:szCs w:val="24"/>
          <w:lang w:val="es-ES"/>
        </w:rPr>
      </w:pPr>
      <w:bookmarkStart w:id="145" w:name="_Toc223177224"/>
      <w:r w:rsidRPr="003013DE">
        <w:rPr>
          <w:rFonts w:ascii="Times New Roman" w:hAnsi="Times New Roman" w:cs="Times New Roman"/>
          <w:b/>
          <w:bCs/>
          <w:color w:val="auto"/>
          <w:sz w:val="24"/>
          <w:szCs w:val="24"/>
          <w:lang w:val="es-ES"/>
        </w:rPr>
        <w:lastRenderedPageBreak/>
        <w:t>4.2.5 Relación entre alteraciones de la microbiota intestinal y Enfermedad de Parkinson</w:t>
      </w:r>
      <w:bookmarkEnd w:id="145"/>
    </w:p>
    <w:p w14:paraId="15D9E817" w14:textId="4C746CA4" w:rsidR="00011DB1" w:rsidRPr="003013DE" w:rsidRDefault="00AC77B1" w:rsidP="00011DB1">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La Enfermedad de Parkinson (EP) es una enfermedad neurodegenerativa progresiva caracterizada clínicamente por temblor en reposo, rigidez, bradicinesia y trastornos de la marcha, y neuropatológicamente por la pérdida de neuronas dopaminérgicas en la sustancia negra y la acumulación intracelular de agregados de α-sinucleína en forma de cuerpos de Lewy</w:t>
      </w:r>
      <w:r w:rsidR="006F0CE2" w:rsidRPr="003013DE">
        <w:rPr>
          <w:rFonts w:ascii="Times New Roman" w:hAnsi="Times New Roman" w:cs="Times New Roman"/>
          <w:sz w:val="24"/>
          <w:szCs w:val="24"/>
          <w:vertAlign w:val="superscript"/>
          <w:lang w:val="es-ES"/>
        </w:rPr>
        <w:t>106</w:t>
      </w:r>
      <w:r w:rsidRPr="003013DE">
        <w:rPr>
          <w:rFonts w:ascii="Times New Roman" w:hAnsi="Times New Roman" w:cs="Times New Roman"/>
          <w:sz w:val="24"/>
          <w:szCs w:val="24"/>
          <w:lang w:val="es-ES"/>
        </w:rPr>
        <w:t xml:space="preserve">. </w:t>
      </w:r>
    </w:p>
    <w:p w14:paraId="2C273C54" w14:textId="3504A942" w:rsidR="00AC77B1" w:rsidRPr="003013DE" w:rsidRDefault="00AC77B1" w:rsidP="00011DB1">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En las últimas dos décadas, la investigación sobre la EP ha transitado desde una comprensión exclusivamente centrada en el sistema nervioso central (SNC) hacia un modelo más sistémico que incorpora mecanismos periféricos especialmente relacionados con el eje microbiota–intestino–cerebro</w:t>
      </w:r>
      <w:r w:rsidR="00011DB1" w:rsidRPr="003013DE">
        <w:rPr>
          <w:rFonts w:ascii="Times New Roman" w:hAnsi="Times New Roman" w:cs="Times New Roman"/>
          <w:sz w:val="24"/>
          <w:szCs w:val="24"/>
          <w:lang w:val="es-ES"/>
        </w:rPr>
        <w:t xml:space="preserve"> </w:t>
      </w:r>
      <w:r w:rsidRPr="003013DE">
        <w:rPr>
          <w:rFonts w:ascii="Times New Roman" w:hAnsi="Times New Roman" w:cs="Times New Roman"/>
          <w:sz w:val="24"/>
          <w:szCs w:val="24"/>
          <w:lang w:val="es-ES"/>
        </w:rPr>
        <w:t>como componentes centrales de la fisiopatología.</w:t>
      </w:r>
      <w:r w:rsidR="00011DB1" w:rsidRPr="003013DE">
        <w:rPr>
          <w:rFonts w:ascii="Times New Roman" w:hAnsi="Times New Roman" w:cs="Times New Roman"/>
          <w:sz w:val="24"/>
          <w:szCs w:val="24"/>
          <w:lang w:val="es-ES"/>
        </w:rPr>
        <w:t xml:space="preserve"> </w:t>
      </w:r>
      <w:r w:rsidRPr="003013DE">
        <w:rPr>
          <w:rFonts w:ascii="Times New Roman" w:hAnsi="Times New Roman" w:cs="Times New Roman"/>
          <w:sz w:val="24"/>
          <w:szCs w:val="24"/>
          <w:lang w:val="es-ES"/>
        </w:rPr>
        <w:t>En este contexto, la evidencia científica actual ha identificado que los cambios en la composición y función del microbiota intestinal no solamente se correlacionan con la presencia de EP, sino que podrían preceder a los síntomas motores clásicos por varios años, sugiriendo un rol etiopatogénico temprano y potencialmente causal</w:t>
      </w:r>
      <w:r w:rsidR="006F0CE2" w:rsidRPr="003013DE">
        <w:rPr>
          <w:rFonts w:ascii="Times New Roman" w:hAnsi="Times New Roman" w:cs="Times New Roman"/>
          <w:sz w:val="24"/>
          <w:szCs w:val="24"/>
          <w:vertAlign w:val="superscript"/>
          <w:lang w:val="es-ES"/>
        </w:rPr>
        <w:t>106</w:t>
      </w:r>
      <w:r w:rsidRPr="003013DE">
        <w:rPr>
          <w:rFonts w:ascii="Times New Roman" w:hAnsi="Times New Roman" w:cs="Times New Roman"/>
          <w:sz w:val="24"/>
          <w:szCs w:val="24"/>
          <w:lang w:val="es-ES"/>
        </w:rPr>
        <w:t>.</w:t>
      </w:r>
    </w:p>
    <w:p w14:paraId="1C0A4F29" w14:textId="4BE4C392" w:rsidR="00AC77B1" w:rsidRPr="003013DE" w:rsidRDefault="002A3085" w:rsidP="001D7450">
      <w:pPr>
        <w:pStyle w:val="Ttulo3"/>
        <w:rPr>
          <w:rFonts w:ascii="Times New Roman" w:hAnsi="Times New Roman" w:cs="Times New Roman"/>
          <w:b/>
          <w:bCs/>
          <w:color w:val="auto"/>
          <w:sz w:val="24"/>
          <w:szCs w:val="24"/>
          <w:lang w:val="es-ES"/>
        </w:rPr>
      </w:pPr>
      <w:bookmarkStart w:id="146" w:name="_Toc223177225"/>
      <w:r w:rsidRPr="003013DE">
        <w:rPr>
          <w:rFonts w:ascii="Times New Roman" w:hAnsi="Times New Roman" w:cs="Times New Roman"/>
          <w:b/>
          <w:bCs/>
          <w:color w:val="auto"/>
          <w:sz w:val="24"/>
          <w:szCs w:val="24"/>
          <w:lang w:val="es-ES"/>
        </w:rPr>
        <w:t xml:space="preserve">4.2.5.1 </w:t>
      </w:r>
      <w:r w:rsidR="00AC77B1" w:rsidRPr="003013DE">
        <w:rPr>
          <w:rFonts w:ascii="Times New Roman" w:hAnsi="Times New Roman" w:cs="Times New Roman"/>
          <w:b/>
          <w:bCs/>
          <w:color w:val="auto"/>
          <w:sz w:val="24"/>
          <w:szCs w:val="24"/>
          <w:lang w:val="es-ES"/>
        </w:rPr>
        <w:t>Alteraciones de la microbiota intestinal en Parkinson</w:t>
      </w:r>
      <w:bookmarkEnd w:id="146"/>
    </w:p>
    <w:p w14:paraId="528BA0A6" w14:textId="55D0EDA0" w:rsidR="00AC77B1" w:rsidRPr="003013DE" w:rsidRDefault="00AC77B1" w:rsidP="002A308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Estudios observacionales en pacientes con EP han demostrado de forma consistente que estos presentan un perfil de microbiota intestinal alterado en comparación con sujetos sanos de la misma edad</w:t>
      </w:r>
      <w:r w:rsidR="006F0CE2" w:rsidRPr="003013DE">
        <w:rPr>
          <w:rFonts w:ascii="Times New Roman" w:hAnsi="Times New Roman" w:cs="Times New Roman"/>
          <w:sz w:val="24"/>
          <w:szCs w:val="24"/>
          <w:vertAlign w:val="superscript"/>
          <w:lang w:val="es-ES"/>
        </w:rPr>
        <w:t>67</w:t>
      </w:r>
      <w:r w:rsidRPr="003013DE">
        <w:rPr>
          <w:rFonts w:ascii="Times New Roman" w:hAnsi="Times New Roman" w:cs="Times New Roman"/>
          <w:sz w:val="24"/>
          <w:szCs w:val="24"/>
          <w:lang w:val="es-ES"/>
        </w:rPr>
        <w:t>. Entre las alteraciones más reproducibles se encuentran:</w:t>
      </w:r>
    </w:p>
    <w:p w14:paraId="775FD407" w14:textId="77777777" w:rsidR="002A3085" w:rsidRPr="003013DE" w:rsidRDefault="00AC77B1" w:rsidP="00AC77B1">
      <w:pPr>
        <w:pStyle w:val="Textocomentario"/>
        <w:numPr>
          <w:ilvl w:val="0"/>
          <w:numId w:val="38"/>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Reducción de bacterias productoras de ácido butírico y otros ácidos grasos de cadena corta (AGCC), como Faecalibacterium prausnitzii y Roseburia.</w:t>
      </w:r>
    </w:p>
    <w:p w14:paraId="4C342519" w14:textId="77777777" w:rsidR="002A3085" w:rsidRPr="003013DE" w:rsidRDefault="00AC77B1" w:rsidP="00AC77B1">
      <w:pPr>
        <w:pStyle w:val="Textocomentario"/>
        <w:numPr>
          <w:ilvl w:val="0"/>
          <w:numId w:val="38"/>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Disminución de la diversidad microbiana global (diversidad alfa).</w:t>
      </w:r>
    </w:p>
    <w:p w14:paraId="02292300" w14:textId="77777777" w:rsidR="002A3085" w:rsidRPr="003013DE" w:rsidRDefault="00AC77B1" w:rsidP="00AC77B1">
      <w:pPr>
        <w:pStyle w:val="Textocomentario"/>
        <w:numPr>
          <w:ilvl w:val="0"/>
          <w:numId w:val="38"/>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Aumento de Enterobacteriaceae y otros géneros asociados con procesos inflamatorios sistémicos.</w:t>
      </w:r>
    </w:p>
    <w:p w14:paraId="6DE9F975" w14:textId="7922B990" w:rsidR="00AC77B1" w:rsidRPr="003013DE" w:rsidRDefault="00AC77B1" w:rsidP="00AC77B1">
      <w:pPr>
        <w:pStyle w:val="Textocomentario"/>
        <w:numPr>
          <w:ilvl w:val="0"/>
          <w:numId w:val="38"/>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Disminución de Prevotella, un género bacteriano implicado en la regulación de mucinas y la producción de vitaminas del grupo B.</w:t>
      </w:r>
    </w:p>
    <w:p w14:paraId="498F2D40" w14:textId="7604E95F" w:rsidR="00AC77B1" w:rsidRPr="003013DE" w:rsidRDefault="00AC77B1" w:rsidP="002A308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Estas alteraciones se observan tanto en estudios basados en secuenciación de 16S rRNA en heces de pacientes con EP como en análisis integrativos que ajustan por edad, dieta </w:t>
      </w:r>
      <w:r w:rsidRPr="003013DE">
        <w:rPr>
          <w:rFonts w:ascii="Times New Roman" w:hAnsi="Times New Roman" w:cs="Times New Roman"/>
          <w:sz w:val="24"/>
          <w:szCs w:val="24"/>
          <w:lang w:val="es-ES"/>
        </w:rPr>
        <w:lastRenderedPageBreak/>
        <w:t>y tratamiento farmacológico, lo que sugiere que no son meramente epifenómenos, sino que pueden estar implicadas activamente en la fisiopatología de la enfermed</w:t>
      </w:r>
      <w:r w:rsidR="00F77A53" w:rsidRPr="003013DE">
        <w:rPr>
          <w:rFonts w:ascii="Times New Roman" w:hAnsi="Times New Roman" w:cs="Times New Roman"/>
          <w:sz w:val="24"/>
          <w:szCs w:val="24"/>
          <w:lang w:val="es-ES"/>
        </w:rPr>
        <w:t>a</w:t>
      </w:r>
      <w:r w:rsidR="00F77A53" w:rsidRPr="003013DE">
        <w:rPr>
          <w:rFonts w:ascii="Times New Roman" w:hAnsi="Times New Roman" w:cs="Times New Roman"/>
          <w:sz w:val="24"/>
          <w:szCs w:val="24"/>
          <w:vertAlign w:val="superscript"/>
          <w:lang w:val="es-ES"/>
        </w:rPr>
        <w:t>67</w:t>
      </w:r>
      <w:r w:rsidR="00F77A53" w:rsidRPr="003013DE">
        <w:rPr>
          <w:rFonts w:ascii="Times New Roman" w:hAnsi="Times New Roman" w:cs="Times New Roman"/>
          <w:sz w:val="24"/>
          <w:szCs w:val="24"/>
          <w:lang w:val="es-ES"/>
        </w:rPr>
        <w:t>.</w:t>
      </w:r>
    </w:p>
    <w:p w14:paraId="53380B57" w14:textId="030C9784" w:rsidR="00AC77B1" w:rsidRPr="003013DE" w:rsidRDefault="00AC77B1" w:rsidP="002A308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En un estudio pionero de Scheperjans et al., se observó que la abundancia de bacterias de la familia Enterobacteriaceae se correlacionó positivamente con la severidad motora en EP, mientras que la disminución de Prevotella se asoció con síntomas no motores, como disfunción autonómica</w:t>
      </w:r>
      <w:r w:rsidR="00F77A53" w:rsidRPr="003013DE">
        <w:rPr>
          <w:rFonts w:ascii="Times New Roman" w:hAnsi="Times New Roman" w:cs="Times New Roman"/>
          <w:sz w:val="24"/>
          <w:szCs w:val="24"/>
          <w:vertAlign w:val="superscript"/>
          <w:lang w:val="es-ES"/>
        </w:rPr>
        <w:t>79</w:t>
      </w:r>
      <w:r w:rsidRPr="003013DE">
        <w:rPr>
          <w:rFonts w:ascii="Times New Roman" w:hAnsi="Times New Roman" w:cs="Times New Roman"/>
          <w:sz w:val="24"/>
          <w:szCs w:val="24"/>
          <w:lang w:val="es-ES"/>
        </w:rPr>
        <w:t xml:space="preserve">. </w:t>
      </w:r>
    </w:p>
    <w:p w14:paraId="374E617A" w14:textId="3549F5FB" w:rsidR="00AC77B1" w:rsidRPr="003013DE" w:rsidRDefault="002A3085" w:rsidP="001D7450">
      <w:pPr>
        <w:pStyle w:val="Ttulo3"/>
        <w:rPr>
          <w:rFonts w:ascii="Times New Roman" w:hAnsi="Times New Roman" w:cs="Times New Roman"/>
          <w:b/>
          <w:bCs/>
          <w:color w:val="auto"/>
          <w:sz w:val="24"/>
          <w:szCs w:val="24"/>
          <w:lang w:val="es-ES"/>
        </w:rPr>
      </w:pPr>
      <w:bookmarkStart w:id="147" w:name="_Toc223177226"/>
      <w:r w:rsidRPr="003013DE">
        <w:rPr>
          <w:rFonts w:ascii="Times New Roman" w:hAnsi="Times New Roman" w:cs="Times New Roman"/>
          <w:b/>
          <w:bCs/>
          <w:color w:val="auto"/>
          <w:sz w:val="24"/>
          <w:szCs w:val="24"/>
          <w:lang w:val="es-ES"/>
        </w:rPr>
        <w:t xml:space="preserve">4.2.5.2 </w:t>
      </w:r>
      <w:r w:rsidR="00AC77B1" w:rsidRPr="003013DE">
        <w:rPr>
          <w:rFonts w:ascii="Times New Roman" w:hAnsi="Times New Roman" w:cs="Times New Roman"/>
          <w:b/>
          <w:bCs/>
          <w:color w:val="auto"/>
          <w:sz w:val="24"/>
          <w:szCs w:val="24"/>
          <w:lang w:val="es-ES"/>
        </w:rPr>
        <w:t>Evidencia de inicio periférico y propagación neural</w:t>
      </w:r>
      <w:bookmarkEnd w:id="147"/>
    </w:p>
    <w:p w14:paraId="1B4D85AA" w14:textId="344783A4" w:rsidR="00AC77B1" w:rsidRPr="003013DE" w:rsidRDefault="00AC77B1" w:rsidP="002A308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Una de las hipótesis más robustas surgidas en los últimos años es que la EP podría iniciarse fuera del SNC, en el tracto gastrointestinal, y propagarse posteriormente al cerebro a través de vías neuronales, especialmente el nervio vago.</w:t>
      </w:r>
      <w:r w:rsidR="002A3085" w:rsidRPr="003013DE">
        <w:rPr>
          <w:rFonts w:ascii="Times New Roman" w:hAnsi="Times New Roman" w:cs="Times New Roman"/>
          <w:sz w:val="24"/>
          <w:szCs w:val="24"/>
          <w:lang w:val="es-ES"/>
        </w:rPr>
        <w:t xml:space="preserve"> </w:t>
      </w:r>
      <w:r w:rsidRPr="003013DE">
        <w:rPr>
          <w:rFonts w:ascii="Times New Roman" w:hAnsi="Times New Roman" w:cs="Times New Roman"/>
          <w:sz w:val="24"/>
          <w:szCs w:val="24"/>
          <w:lang w:val="es-ES"/>
        </w:rPr>
        <w:t>Esta idea se basa en varios pilares empíricos:</w:t>
      </w:r>
    </w:p>
    <w:p w14:paraId="45833D28" w14:textId="77777777" w:rsidR="002A3085" w:rsidRPr="003013DE" w:rsidRDefault="00AC77B1" w:rsidP="00AC77B1">
      <w:pPr>
        <w:pStyle w:val="Textocomentario"/>
        <w:numPr>
          <w:ilvl w:val="0"/>
          <w:numId w:val="39"/>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Hallazgos neuropatológicos tempranos de α-sinucleína en el sistema nervioso entérico (SNE): Braak y col. documentaron inclusiones de α-sinucleína en los plexos de Meissner y Auerbach de la pared intestinal en estadios tempranos de parkinsonismo, antes de la afectación del tronco encefálico o sustancia negra.</w:t>
      </w:r>
    </w:p>
    <w:p w14:paraId="125F5B12" w14:textId="77777777" w:rsidR="002A3085" w:rsidRPr="003013DE" w:rsidRDefault="00AC77B1" w:rsidP="00AC77B1">
      <w:pPr>
        <w:pStyle w:val="Textocomentario"/>
        <w:numPr>
          <w:ilvl w:val="0"/>
          <w:numId w:val="39"/>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Estudios epidemiológicos sobre vagotomía: Svensson et al. mostraron que sujetos sometidos a vagotomía troncal tenían un riesgo significativamente menor de desarrollar EP años después en comparación con controles emparejados, lo que refuerza un papel funcional del nervio vago en la propagación de la patología.</w:t>
      </w:r>
    </w:p>
    <w:p w14:paraId="1C97E7FE" w14:textId="5774F39C" w:rsidR="00AC77B1" w:rsidRPr="003013DE" w:rsidRDefault="00AC77B1" w:rsidP="00AC77B1">
      <w:pPr>
        <w:pStyle w:val="Textocomentario"/>
        <w:numPr>
          <w:ilvl w:val="0"/>
          <w:numId w:val="39"/>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Modelos animales experimentales: En roedores, la inoculación de α-sinucleína en el intestino o la inducción de inflamación intestinal crónica conduce a la propagación progresiva de agregado patológico a través del nervio vago hacia el tronco encefálico y regiones diencefálicas, reproduciendo hallazgos similares a la patología humana.</w:t>
      </w:r>
    </w:p>
    <w:p w14:paraId="770E30E9" w14:textId="7724A90C" w:rsidR="00AC77B1" w:rsidRPr="003013DE" w:rsidRDefault="00AC77B1" w:rsidP="002A3085">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Estos hallazgos enlazan de forma plausible la disfunción intestinal con un inicio periférico de la degeneración dopaminérgica, un concepto que desafía el paradigma tradicional centrado exclusivamente en el cerebro</w:t>
      </w:r>
      <w:r w:rsidR="006F0CE2" w:rsidRPr="003013DE">
        <w:rPr>
          <w:rFonts w:ascii="Times New Roman" w:hAnsi="Times New Roman" w:cs="Times New Roman"/>
          <w:sz w:val="24"/>
          <w:szCs w:val="24"/>
          <w:vertAlign w:val="superscript"/>
          <w:lang w:val="es-ES"/>
        </w:rPr>
        <w:t>60</w:t>
      </w:r>
      <w:r w:rsidRPr="003013DE">
        <w:rPr>
          <w:rFonts w:ascii="Times New Roman" w:hAnsi="Times New Roman" w:cs="Times New Roman"/>
          <w:sz w:val="24"/>
          <w:szCs w:val="24"/>
          <w:lang w:val="es-ES"/>
        </w:rPr>
        <w:t>.</w:t>
      </w:r>
    </w:p>
    <w:p w14:paraId="71693EB7" w14:textId="76530296" w:rsidR="00AC77B1" w:rsidRPr="003013DE" w:rsidRDefault="002E012C" w:rsidP="001D7450">
      <w:pPr>
        <w:pStyle w:val="Ttulo3"/>
        <w:rPr>
          <w:rFonts w:ascii="Times New Roman" w:hAnsi="Times New Roman" w:cs="Times New Roman"/>
          <w:b/>
          <w:bCs/>
          <w:color w:val="auto"/>
          <w:sz w:val="24"/>
          <w:szCs w:val="24"/>
          <w:lang w:val="es-ES"/>
        </w:rPr>
      </w:pPr>
      <w:bookmarkStart w:id="148" w:name="_Toc223177227"/>
      <w:r w:rsidRPr="003013DE">
        <w:rPr>
          <w:rFonts w:ascii="Times New Roman" w:hAnsi="Times New Roman" w:cs="Times New Roman"/>
          <w:b/>
          <w:bCs/>
          <w:color w:val="auto"/>
          <w:sz w:val="24"/>
          <w:szCs w:val="24"/>
          <w:lang w:val="es-ES"/>
        </w:rPr>
        <w:lastRenderedPageBreak/>
        <w:t xml:space="preserve">4.2.5.3 </w:t>
      </w:r>
      <w:r w:rsidR="00AC77B1" w:rsidRPr="003013DE">
        <w:rPr>
          <w:rFonts w:ascii="Times New Roman" w:hAnsi="Times New Roman" w:cs="Times New Roman"/>
          <w:b/>
          <w:bCs/>
          <w:color w:val="auto"/>
          <w:sz w:val="24"/>
          <w:szCs w:val="24"/>
          <w:lang w:val="es-ES"/>
        </w:rPr>
        <w:t>Inflamación sistémica y neuroinflamación en Parkinson</w:t>
      </w:r>
      <w:bookmarkEnd w:id="148"/>
    </w:p>
    <w:p w14:paraId="262C5A93" w14:textId="711129C4" w:rsidR="00AC77B1" w:rsidRPr="003013DE" w:rsidRDefault="00AC77B1" w:rsidP="0060354B">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La disbiosis intestinal no solo altera la composición microbiana, sino que se asocia con un estado de inflamación sistémica crónica de bajo grado, caracterizado por niveles elevados de citocinas proinflamatorias y la presencia de endotoxinas bacterianas en la circulación, particularmente lipopolisacáridos (LPS).</w:t>
      </w:r>
      <w:r w:rsidR="008C3ED1" w:rsidRPr="003013DE">
        <w:rPr>
          <w:rFonts w:ascii="Times New Roman" w:hAnsi="Times New Roman" w:cs="Times New Roman"/>
          <w:sz w:val="24"/>
          <w:szCs w:val="24"/>
          <w:vertAlign w:val="superscript"/>
          <w:lang w:val="es-ES"/>
        </w:rPr>
        <w:t>63</w:t>
      </w:r>
      <w:r w:rsidR="002E012C" w:rsidRPr="003013DE">
        <w:rPr>
          <w:rFonts w:ascii="Times New Roman" w:hAnsi="Times New Roman" w:cs="Times New Roman"/>
          <w:sz w:val="24"/>
          <w:szCs w:val="24"/>
          <w:lang w:val="es-ES"/>
        </w:rPr>
        <w:t xml:space="preserve"> </w:t>
      </w:r>
      <w:r w:rsidRPr="003013DE">
        <w:rPr>
          <w:rFonts w:ascii="Times New Roman" w:hAnsi="Times New Roman" w:cs="Times New Roman"/>
          <w:sz w:val="24"/>
          <w:szCs w:val="24"/>
          <w:lang w:val="es-ES"/>
        </w:rPr>
        <w:t>Estas moléculas pueden:</w:t>
      </w:r>
    </w:p>
    <w:p w14:paraId="1C5F328D" w14:textId="77777777" w:rsidR="002E012C" w:rsidRPr="003013DE" w:rsidRDefault="00AC77B1" w:rsidP="00AC77B1">
      <w:pPr>
        <w:pStyle w:val="Textocomentario"/>
        <w:numPr>
          <w:ilvl w:val="0"/>
          <w:numId w:val="40"/>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Activar receptores tipo Toll, como TLR4, en células inmunitarias periféricas y del SNC.</w:t>
      </w:r>
    </w:p>
    <w:p w14:paraId="5A6447AB" w14:textId="77777777" w:rsidR="002E012C" w:rsidRPr="003013DE" w:rsidRDefault="00AC77B1" w:rsidP="00AC77B1">
      <w:pPr>
        <w:pStyle w:val="Textocomentario"/>
        <w:numPr>
          <w:ilvl w:val="0"/>
          <w:numId w:val="40"/>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Permeabilizar la barrera hematoencefálica (BHE).</w:t>
      </w:r>
    </w:p>
    <w:p w14:paraId="1E2C5762" w14:textId="3733D44C" w:rsidR="00AC77B1" w:rsidRPr="003013DE" w:rsidRDefault="00AC77B1" w:rsidP="00AC77B1">
      <w:pPr>
        <w:pStyle w:val="Textocomentario"/>
        <w:numPr>
          <w:ilvl w:val="0"/>
          <w:numId w:val="40"/>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Promover la activación microglial persistente.</w:t>
      </w:r>
    </w:p>
    <w:p w14:paraId="4BED5A2D" w14:textId="4ABB2E27" w:rsidR="00AC77B1" w:rsidRPr="003013DE" w:rsidRDefault="00AC77B1" w:rsidP="0060354B">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En modelos animales de Parkinson, la administración crónica de LPS induce pérdida dopaminérgica y síntomas motores, mientras que la ausencia de microbiota disminuye la activación microglial y protege contra la neurodegeneración.</w:t>
      </w:r>
      <w:r w:rsidR="0060354B" w:rsidRPr="003013DE">
        <w:rPr>
          <w:rFonts w:ascii="Times New Roman" w:hAnsi="Times New Roman" w:cs="Times New Roman"/>
          <w:sz w:val="24"/>
          <w:szCs w:val="24"/>
          <w:lang w:val="es-ES"/>
        </w:rPr>
        <w:t xml:space="preserve"> </w:t>
      </w:r>
      <w:r w:rsidRPr="003013DE">
        <w:rPr>
          <w:rFonts w:ascii="Times New Roman" w:hAnsi="Times New Roman" w:cs="Times New Roman"/>
          <w:sz w:val="24"/>
          <w:szCs w:val="24"/>
          <w:lang w:val="es-ES"/>
        </w:rPr>
        <w:t>La activación microglial observada en estudios post-mortem de cerebros de pacientes con EP se vincula a mayor expresión de TNF-α e IL-1β, lo que sugiere que los procesos inflamatorios periféricos tienen un impacto directo en el microambiente neural</w:t>
      </w:r>
      <w:r w:rsidR="008C3ED1" w:rsidRPr="003013DE">
        <w:rPr>
          <w:rFonts w:ascii="Times New Roman" w:hAnsi="Times New Roman" w:cs="Times New Roman"/>
          <w:sz w:val="24"/>
          <w:szCs w:val="24"/>
          <w:vertAlign w:val="superscript"/>
          <w:lang w:val="es-ES"/>
        </w:rPr>
        <w:t>63</w:t>
      </w:r>
      <w:r w:rsidRPr="003013DE">
        <w:rPr>
          <w:rFonts w:ascii="Times New Roman" w:hAnsi="Times New Roman" w:cs="Times New Roman"/>
          <w:sz w:val="24"/>
          <w:szCs w:val="24"/>
          <w:lang w:val="es-ES"/>
        </w:rPr>
        <w:t>.</w:t>
      </w:r>
    </w:p>
    <w:p w14:paraId="614EFF07" w14:textId="11C076B5" w:rsidR="00AC77B1" w:rsidRPr="003013DE" w:rsidRDefault="0060354B" w:rsidP="001D7450">
      <w:pPr>
        <w:pStyle w:val="Ttulo3"/>
        <w:rPr>
          <w:rFonts w:ascii="Times New Roman" w:hAnsi="Times New Roman" w:cs="Times New Roman"/>
          <w:b/>
          <w:bCs/>
          <w:color w:val="auto"/>
          <w:sz w:val="24"/>
          <w:szCs w:val="24"/>
          <w:lang w:val="es-ES"/>
        </w:rPr>
      </w:pPr>
      <w:bookmarkStart w:id="149" w:name="_Toc223177228"/>
      <w:r w:rsidRPr="003013DE">
        <w:rPr>
          <w:rFonts w:ascii="Times New Roman" w:hAnsi="Times New Roman" w:cs="Times New Roman"/>
          <w:b/>
          <w:bCs/>
          <w:color w:val="auto"/>
          <w:sz w:val="24"/>
          <w:szCs w:val="24"/>
          <w:lang w:val="es-ES"/>
        </w:rPr>
        <w:t xml:space="preserve">4.2.5.4 </w:t>
      </w:r>
      <w:r w:rsidR="00AC77B1" w:rsidRPr="003013DE">
        <w:rPr>
          <w:rFonts w:ascii="Times New Roman" w:hAnsi="Times New Roman" w:cs="Times New Roman"/>
          <w:b/>
          <w:bCs/>
          <w:color w:val="auto"/>
          <w:sz w:val="24"/>
          <w:szCs w:val="24"/>
          <w:lang w:val="es-ES"/>
        </w:rPr>
        <w:t>Metabolitos microbianos y función neural</w:t>
      </w:r>
      <w:bookmarkEnd w:id="149"/>
    </w:p>
    <w:p w14:paraId="2E9A9DB0" w14:textId="77777777" w:rsidR="00AC77B1" w:rsidRPr="003013DE" w:rsidRDefault="00AC77B1" w:rsidP="0060354B">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Además de los mecanismos inmunológicos, la disbiosis asociada a EP altera la producción de metabolitos microbianos neuroactivos:</w:t>
      </w:r>
    </w:p>
    <w:p w14:paraId="0272C0FC" w14:textId="651D1E52" w:rsidR="00CE7AEA" w:rsidRPr="003013DE" w:rsidRDefault="00AC77B1" w:rsidP="00AC77B1">
      <w:pPr>
        <w:pStyle w:val="Textocomentario"/>
        <w:numPr>
          <w:ilvl w:val="0"/>
          <w:numId w:val="41"/>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Ácidos grasos de cadena corta (AGCC): el butirato y propionato ejercen efectos antiinflamatorios y refuerzan la integridad de las barreras epiteliales. La reducción de bacterias productoras de AGCC puede disminuir estas funciones protectoras y favorecer inflamación sistémica</w:t>
      </w:r>
      <w:r w:rsidR="008C3ED1" w:rsidRPr="003013DE">
        <w:rPr>
          <w:rFonts w:ascii="Times New Roman" w:hAnsi="Times New Roman" w:cs="Times New Roman"/>
          <w:sz w:val="24"/>
          <w:szCs w:val="24"/>
          <w:vertAlign w:val="superscript"/>
          <w:lang w:val="es-ES"/>
        </w:rPr>
        <w:t>64</w:t>
      </w:r>
      <w:r w:rsidRPr="003013DE">
        <w:rPr>
          <w:rFonts w:ascii="Times New Roman" w:hAnsi="Times New Roman" w:cs="Times New Roman"/>
          <w:sz w:val="24"/>
          <w:szCs w:val="24"/>
          <w:lang w:val="es-ES"/>
        </w:rPr>
        <w:t>.</w:t>
      </w:r>
    </w:p>
    <w:p w14:paraId="4C156177" w14:textId="3E8ED4E3" w:rsidR="00AC77B1" w:rsidRPr="003013DE" w:rsidRDefault="00AC77B1" w:rsidP="00AC77B1">
      <w:pPr>
        <w:pStyle w:val="Textocomentario"/>
        <w:numPr>
          <w:ilvl w:val="0"/>
          <w:numId w:val="41"/>
        </w:num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Neurotransmisores microbianos: algunas bacterias intestinales pueden sintetizar o modular precursores de neurotransmisores como dopamina y GABA. Su disminución podría afectar la modulación del sistema nervioso entérico y central</w:t>
      </w:r>
      <w:r w:rsidR="008C3ED1" w:rsidRPr="003013DE">
        <w:rPr>
          <w:rFonts w:ascii="Times New Roman" w:hAnsi="Times New Roman" w:cs="Times New Roman"/>
          <w:sz w:val="24"/>
          <w:szCs w:val="24"/>
          <w:vertAlign w:val="superscript"/>
          <w:lang w:val="es-ES"/>
        </w:rPr>
        <w:t>64</w:t>
      </w:r>
      <w:r w:rsidR="00A63948" w:rsidRPr="003013DE">
        <w:rPr>
          <w:rFonts w:ascii="Times New Roman" w:hAnsi="Times New Roman" w:cs="Times New Roman"/>
          <w:sz w:val="24"/>
          <w:szCs w:val="24"/>
          <w:vertAlign w:val="superscript"/>
          <w:lang w:val="es-ES"/>
        </w:rPr>
        <w:t>,65</w:t>
      </w:r>
      <w:r w:rsidRPr="003013DE">
        <w:rPr>
          <w:rFonts w:ascii="Times New Roman" w:hAnsi="Times New Roman" w:cs="Times New Roman"/>
          <w:sz w:val="24"/>
          <w:szCs w:val="24"/>
          <w:lang w:val="es-ES"/>
        </w:rPr>
        <w:t xml:space="preserve">. </w:t>
      </w:r>
    </w:p>
    <w:p w14:paraId="359D9E7A" w14:textId="43E006DA" w:rsidR="00AC77B1" w:rsidRPr="003013DE" w:rsidRDefault="00AC77B1" w:rsidP="00CE7AEA">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Estos cambios metabólicos se traducen en una menor disponibilidad de compuestos neuroprotectores y en un aumento de amenazas metabólicas, contribuyendo a la progresión neurodegenerativa.</w:t>
      </w:r>
    </w:p>
    <w:p w14:paraId="6CD55E90" w14:textId="139EE9C3" w:rsidR="00AC77B1" w:rsidRPr="003013DE" w:rsidRDefault="00CE7AEA" w:rsidP="003013DE">
      <w:pPr>
        <w:pStyle w:val="Ttulo3"/>
        <w:rPr>
          <w:rFonts w:ascii="Times New Roman" w:hAnsi="Times New Roman" w:cs="Times New Roman"/>
          <w:b/>
          <w:bCs/>
          <w:color w:val="auto"/>
          <w:sz w:val="24"/>
          <w:szCs w:val="24"/>
          <w:lang w:val="es-ES"/>
        </w:rPr>
      </w:pPr>
      <w:bookmarkStart w:id="150" w:name="_Toc223177229"/>
      <w:r w:rsidRPr="003013DE">
        <w:rPr>
          <w:rFonts w:ascii="Times New Roman" w:hAnsi="Times New Roman" w:cs="Times New Roman"/>
          <w:b/>
          <w:bCs/>
          <w:color w:val="auto"/>
          <w:sz w:val="24"/>
          <w:szCs w:val="24"/>
          <w:lang w:val="es-ES"/>
        </w:rPr>
        <w:lastRenderedPageBreak/>
        <w:t xml:space="preserve">4.2.5.5 </w:t>
      </w:r>
      <w:r w:rsidR="00AC77B1" w:rsidRPr="003013DE">
        <w:rPr>
          <w:rFonts w:ascii="Times New Roman" w:hAnsi="Times New Roman" w:cs="Times New Roman"/>
          <w:b/>
          <w:bCs/>
          <w:color w:val="auto"/>
          <w:sz w:val="24"/>
          <w:szCs w:val="24"/>
          <w:lang w:val="es-ES"/>
        </w:rPr>
        <w:t>Microbiota y síntomas no motores</w:t>
      </w:r>
      <w:bookmarkEnd w:id="150"/>
    </w:p>
    <w:p w14:paraId="5099BA11" w14:textId="2A433876" w:rsidR="00AC77B1" w:rsidRPr="003013DE" w:rsidRDefault="00AC77B1" w:rsidP="00EF3079">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Un aspecto clínicamente relevante es que la disbiosis intestinal en EP se asocia no solo con los síntomas motores característicos, sino también con síntomas no motores que afectan la calidad de vida, incluyendo alteraciones del estado de ánimo, ansiedad, distorsiones del sueño y fatiga</w:t>
      </w:r>
      <w:r w:rsidR="00A63948" w:rsidRPr="003013DE">
        <w:rPr>
          <w:rFonts w:ascii="Times New Roman" w:hAnsi="Times New Roman" w:cs="Times New Roman"/>
          <w:sz w:val="24"/>
          <w:szCs w:val="24"/>
          <w:vertAlign w:val="superscript"/>
          <w:lang w:val="es-ES"/>
        </w:rPr>
        <w:t>62</w:t>
      </w:r>
      <w:r w:rsidRPr="003013DE">
        <w:rPr>
          <w:rFonts w:ascii="Times New Roman" w:hAnsi="Times New Roman" w:cs="Times New Roman"/>
          <w:sz w:val="24"/>
          <w:szCs w:val="24"/>
          <w:lang w:val="es-ES"/>
        </w:rPr>
        <w:t>. Estos síntomas podrían explicarse por:</w:t>
      </w:r>
    </w:p>
    <w:p w14:paraId="3483EC7A" w14:textId="77777777" w:rsidR="00AC77B1" w:rsidRPr="003013DE" w:rsidRDefault="00AC77B1" w:rsidP="00AC77B1">
      <w:p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ab/>
        <w:t>•</w:t>
      </w:r>
      <w:r w:rsidRPr="003013DE">
        <w:rPr>
          <w:rFonts w:ascii="Times New Roman" w:hAnsi="Times New Roman" w:cs="Times New Roman"/>
          <w:sz w:val="24"/>
          <w:szCs w:val="24"/>
          <w:lang w:val="es-ES"/>
        </w:rPr>
        <w:tab/>
        <w:t>Alteración de la producción de serotonina y GABA.</w:t>
      </w:r>
    </w:p>
    <w:p w14:paraId="4413D70B" w14:textId="77777777" w:rsidR="00AC77B1" w:rsidRPr="003013DE" w:rsidRDefault="00AC77B1" w:rsidP="00AC77B1">
      <w:p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ab/>
        <w:t>•</w:t>
      </w:r>
      <w:r w:rsidRPr="003013DE">
        <w:rPr>
          <w:rFonts w:ascii="Times New Roman" w:hAnsi="Times New Roman" w:cs="Times New Roman"/>
          <w:sz w:val="24"/>
          <w:szCs w:val="24"/>
          <w:lang w:val="es-ES"/>
        </w:rPr>
        <w:tab/>
        <w:t>Activación crónica del eje hipotálamo–hipófisis–adrenal.</w:t>
      </w:r>
    </w:p>
    <w:p w14:paraId="482D88DA" w14:textId="77777777" w:rsidR="00AC77B1" w:rsidRPr="003013DE" w:rsidRDefault="00AC77B1" w:rsidP="00AC77B1">
      <w:pPr>
        <w:spacing w:line="360" w:lineRule="auto"/>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ab/>
        <w:t>•</w:t>
      </w:r>
      <w:r w:rsidRPr="003013DE">
        <w:rPr>
          <w:rFonts w:ascii="Times New Roman" w:hAnsi="Times New Roman" w:cs="Times New Roman"/>
          <w:sz w:val="24"/>
          <w:szCs w:val="24"/>
          <w:lang w:val="es-ES"/>
        </w:rPr>
        <w:tab/>
        <w:t>Inflamación sistémica crónica.</w:t>
      </w:r>
    </w:p>
    <w:p w14:paraId="4261129D" w14:textId="1260AA85" w:rsidR="00AC77B1" w:rsidRPr="003013DE" w:rsidRDefault="00AC77B1" w:rsidP="00EF3079">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Estudios que correlacionan perfiles microbianos con medidas neuropsiquiátricas han reportado asociaciones entre menor diversidad microbiana y mayor severidad de síntomas no motores, aunque los mecanismos exactos aún requieren mayores investigaciones</w:t>
      </w:r>
      <w:r w:rsidR="00A63948" w:rsidRPr="003013DE">
        <w:rPr>
          <w:rFonts w:ascii="Times New Roman" w:hAnsi="Times New Roman" w:cs="Times New Roman"/>
          <w:sz w:val="24"/>
          <w:szCs w:val="24"/>
          <w:vertAlign w:val="superscript"/>
          <w:lang w:val="es-ES"/>
        </w:rPr>
        <w:t>62</w:t>
      </w:r>
      <w:r w:rsidRPr="003013DE">
        <w:rPr>
          <w:rFonts w:ascii="Times New Roman" w:hAnsi="Times New Roman" w:cs="Times New Roman"/>
          <w:sz w:val="24"/>
          <w:szCs w:val="24"/>
          <w:lang w:val="es-ES"/>
        </w:rPr>
        <w:t>.</w:t>
      </w:r>
    </w:p>
    <w:p w14:paraId="26E34868" w14:textId="26E82CFC" w:rsidR="00FB1B61" w:rsidRPr="003013DE" w:rsidRDefault="00AC77B1" w:rsidP="00EF3079">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La evidencia disponible respalda firmemente que las alteraciones de la microbiota intestinal están estrechamente asociadas con la fisiopatología de la enfermedad de </w:t>
      </w:r>
      <w:r w:rsidR="00723DAA" w:rsidRPr="003013DE">
        <w:rPr>
          <w:rFonts w:ascii="Times New Roman" w:hAnsi="Times New Roman" w:cs="Times New Roman"/>
          <w:sz w:val="24"/>
          <w:szCs w:val="24"/>
          <w:lang w:val="es-ES"/>
        </w:rPr>
        <w:t>Parkinson desde</w:t>
      </w:r>
      <w:r w:rsidRPr="003013DE">
        <w:rPr>
          <w:rFonts w:ascii="Times New Roman" w:hAnsi="Times New Roman" w:cs="Times New Roman"/>
          <w:sz w:val="24"/>
          <w:szCs w:val="24"/>
          <w:lang w:val="es-ES"/>
        </w:rPr>
        <w:t xml:space="preserve"> etapas prodrómicas hasta fases clínicas </w:t>
      </w:r>
      <w:r w:rsidR="00723DAA" w:rsidRPr="003013DE">
        <w:rPr>
          <w:rFonts w:ascii="Times New Roman" w:hAnsi="Times New Roman" w:cs="Times New Roman"/>
          <w:sz w:val="24"/>
          <w:szCs w:val="24"/>
          <w:lang w:val="es-ES"/>
        </w:rPr>
        <w:t>avanzadas a</w:t>
      </w:r>
      <w:r w:rsidRPr="003013DE">
        <w:rPr>
          <w:rFonts w:ascii="Times New Roman" w:hAnsi="Times New Roman" w:cs="Times New Roman"/>
          <w:sz w:val="24"/>
          <w:szCs w:val="24"/>
          <w:lang w:val="es-ES"/>
        </w:rPr>
        <w:t xml:space="preserve"> través de múltiples mecanismos interrelacionados que incluyen inflamación sistémica, activación microglial crónica, disfunción de barreras biológicas, alteración de metabolitos neuroactivos y potencial propagación de proteína patológica vía nervio vago. Aunque aún existen vacíos de conocimiento que requieren estudios longitudinales y ensayos controlados, la fortaleza y consistencia de los datos respaldan un papel modulador significativo de la microbiota en EP.</w:t>
      </w:r>
    </w:p>
    <w:p w14:paraId="2500879C" w14:textId="064FD11C" w:rsidR="008A7D5C" w:rsidRPr="003013DE" w:rsidRDefault="00B13BEF" w:rsidP="003013DE">
      <w:pPr>
        <w:pStyle w:val="Ttulo2"/>
        <w:rPr>
          <w:rFonts w:ascii="Times New Roman" w:hAnsi="Times New Roman" w:cs="Times New Roman"/>
          <w:b/>
          <w:bCs/>
          <w:color w:val="auto"/>
          <w:sz w:val="24"/>
          <w:szCs w:val="24"/>
          <w:lang w:val="es-ES"/>
        </w:rPr>
      </w:pPr>
      <w:bookmarkStart w:id="151" w:name="_Toc223177230"/>
      <w:r w:rsidRPr="003013DE">
        <w:rPr>
          <w:rFonts w:ascii="Times New Roman" w:hAnsi="Times New Roman" w:cs="Times New Roman"/>
          <w:b/>
          <w:bCs/>
          <w:color w:val="auto"/>
          <w:sz w:val="24"/>
          <w:szCs w:val="24"/>
          <w:lang w:val="es-ES"/>
        </w:rPr>
        <w:t>5.2.6 Discusión y análisis objetivo 2</w:t>
      </w:r>
      <w:bookmarkEnd w:id="151"/>
      <w:r w:rsidRPr="003013DE">
        <w:rPr>
          <w:rFonts w:ascii="Times New Roman" w:hAnsi="Times New Roman" w:cs="Times New Roman"/>
          <w:b/>
          <w:bCs/>
          <w:color w:val="auto"/>
          <w:sz w:val="24"/>
          <w:szCs w:val="24"/>
          <w:lang w:val="es-ES"/>
        </w:rPr>
        <w:t xml:space="preserve"> </w:t>
      </w:r>
    </w:p>
    <w:p w14:paraId="377ACF4E" w14:textId="60A8B323" w:rsidR="002B27FB" w:rsidRPr="003013DE" w:rsidRDefault="002B27FB" w:rsidP="002B27FB">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El Objetivo 2 de esta investigación se orientó a identificar y analizar la relación entre las alteraciones de la microbiota intestinal y tres patologías neurodegenerativas de alta relevancia clínica: la Enfermedad de Alzheimer, la Enfermedad de Parkinson y la Esclerosis múltiple. La hipótesis planteada establecía que la disbiosis intestinal constituye un factor modulador relevante en la fisiopatología de estas entidades, actuando a través de mecanismos inflamatorios, metabólicos, inmunológicos y neuroendocrinos integrados en el eje microbiota–intestino–cerebro. Los resultados obtenidos permiten sostener que existe una asociación consistente y biológicamente plausible entre las alteraciones del ecosistema </w:t>
      </w:r>
      <w:r w:rsidRPr="003013DE">
        <w:rPr>
          <w:rFonts w:ascii="Times New Roman" w:hAnsi="Times New Roman" w:cs="Times New Roman"/>
          <w:sz w:val="24"/>
          <w:szCs w:val="24"/>
          <w:lang w:val="es-ES"/>
        </w:rPr>
        <w:lastRenderedPageBreak/>
        <w:t>microbiano intestinal y los procesos de neurodegeneración, aunque con particularidades mecanísticas propias de cada enfermedad.</w:t>
      </w:r>
    </w:p>
    <w:p w14:paraId="3FC53B08" w14:textId="6EF3B18B" w:rsidR="002B27FB" w:rsidRPr="003013DE" w:rsidRDefault="002B27FB" w:rsidP="0053305C">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De manera transversal, se identificó la presencia de disbiosis intestinal significativa en las tres patologías analizadas. A pesar de sus diferencias etiopatogénicas, comparten patrones comunes que incluyen disminución de bacterias productoras de ácidos grasos de cadena corta, especialmente butirato; reducción de la diversidad microbiana; incremento relativo de microorganismos con potencial proinflamatorio; evidencia de inflamación sistémica de bajo grado; y alteración de la permeabilidad intestinal. </w:t>
      </w:r>
    </w:p>
    <w:p w14:paraId="14BD33E7" w14:textId="77777777" w:rsidR="0053305C" w:rsidRPr="003013DE" w:rsidRDefault="002B27FB" w:rsidP="0053305C">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No obstante, aunque existe convergencia inflamatoria, los mecanismos específicos difieren según la patología. En la Enfermedad de Alzheimer, la evidencia sugiere que la disbiosis contribuye principalmente a la activación microglial crónica, al incremento de citocinas proinflamatorias y a la modulación de los procesos de deposición de β-amiloide y fosforilación de proteína tau.</w:t>
      </w:r>
    </w:p>
    <w:p w14:paraId="39DA9006" w14:textId="1176C701" w:rsidR="002B27FB" w:rsidRPr="003013DE" w:rsidRDefault="002B27FB" w:rsidP="0053305C">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 La interacción entre metabolitos bacterianos, inflamación sistémica y agregación proteica parece ser el eje predominante. En este escenario, la microbiota no actuaría como desencadenante primario, sino como modulador de la carga neuropatológica y de la respuesta neuroinflamatoria. La mayor parte de la evidencia en humanos es observacional; sin embargo, los modelos murinos libres de gérmenes refuerzan la plausibilidad biológica de esta interacción.</w:t>
      </w:r>
    </w:p>
    <w:p w14:paraId="073B58B6" w14:textId="0AC6E48F" w:rsidR="0053305C" w:rsidRPr="003013DE" w:rsidRDefault="002B27FB" w:rsidP="0053305C">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En la Enfermedad de Parkinson, la evidencia es particularmente robusta en relación con la hipótesis de inicio periférico. La presencia de agregados de α-sinucleína en el sistema nervioso entérico, la asociación entre disbiosis y síntomas prodrómicos como el estreñimiento crónico, y los estudios epidemiológicos relacionados con vagotomía sustentan un modelo en el cual el intestino podría constituir un sitio inicial de la patología. En este caso, la microbiota no solo amplifica la inflamación sistémica, sino que podría facilitar la agregación patológica de α-sinucleína, modificar la señalización a través del nervio vago e inducir activación microglial secundaria. De las tres enfermedades evaluadas, Parkinson presenta la evidencia más sólida en términos de secuencia temporal y posible relación causal directa.</w:t>
      </w:r>
    </w:p>
    <w:p w14:paraId="1647313B" w14:textId="0B3AFC66" w:rsidR="002B27FB" w:rsidRPr="003013DE" w:rsidRDefault="002B27FB" w:rsidP="0053305C">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lastRenderedPageBreak/>
        <w:t>En la Esclerosis múltiple, el vínculo microbiota–patología se establece predominantemente a través del eje inmunológico adaptativo. La disbiosis modula el equilibrio entre linfocitos Th17 y Treg, favoreciendo un entorno proinflamatorio que facilita la autoinmunidad dirigida contra antígenos de mielina. A diferencia de Alzheimer y Parkinson, donde el daño neuronal es primario, en esta enfermedad la microbiota actúa como modulador del sistema inmunológico adaptativo, influyendo directamente en la activación clonal de linfocitos autorreactivos. Los modelos de encefalomielitis autoinmune experimental y los estudios de transferencia fecal constituyen evidencia funcional relevante que sugiere implicación causal en la severidad de la enfermedad.</w:t>
      </w:r>
    </w:p>
    <w:p w14:paraId="41F0078A" w14:textId="70F17C3D" w:rsidR="002B27FB" w:rsidRPr="003013DE" w:rsidRDefault="002B27FB" w:rsidP="0053305C">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La integración de estos hallazgos consolida el modelo conceptual del eje microbiota–intestino–cerebro, caracterizado por una comunicación bidireccional mediada por vías neurales, particularmente el nervio vago; señalización inmunológica sistémica; producción de metabolitos bacterianos; interacción con el eje hipotálamo–hipófisis–adrenal; y regulación de la permeabilidad de barreras epiteliales. Este modelo explica cómo alteraciones periféricas pueden impactar la homeostasis del sistema nervioso central. Asimismo, debe considerarse que el deterioro neurológico también puede modificar la motilidad intestinal, la secreción y la composición microbiana, generando un circuito de retroalimentación patológica que perpetúa la disfunción.</w:t>
      </w:r>
    </w:p>
    <w:p w14:paraId="235E33E4" w14:textId="596C6515" w:rsidR="002B27FB" w:rsidRPr="003013DE" w:rsidRDefault="002B27FB" w:rsidP="0053305C">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Entre las fortalezas de la evidencia analizada destacan la consistencia entre estudios en humanos y modelos animales, la replicación de hallazgos en distintas poblaciones geográficas y la coherencia biológica con los conocimientos actuales sobre inmunología e inflamación crónica. Sin embargo, predominan estudios transversales en humanos, existe heterogeneidad metodológica en los análisis del microbioma y múltiples factores de confusión como dieta, edad y tratamientos farmacológicosque limitan la inferencia causal definitiva. Estas limitaciones no invalidan la asociación observada, pero subrayan la necesidad de estudios longitudinales y ensayos clínicos bien controlados.</w:t>
      </w:r>
    </w:p>
    <w:p w14:paraId="502E564C" w14:textId="4E7162A9" w:rsidR="002B27FB" w:rsidRPr="003013DE" w:rsidRDefault="002B27FB" w:rsidP="00CA0C30">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Desde el punto de vista clínico, la identificación de patrones específicos de disbiosis asociados a enfermedades neurodegenerativas abre perspectivas para el desarrollo de biomarcadores microbianos tempranos y estrategias terapéuticas dirigidas, incluyendo probióticos específicos, intervenciones dietéticas personalizadas, moduladores metabólicos </w:t>
      </w:r>
      <w:r w:rsidRPr="003013DE">
        <w:rPr>
          <w:rFonts w:ascii="Times New Roman" w:hAnsi="Times New Roman" w:cs="Times New Roman"/>
          <w:sz w:val="24"/>
          <w:szCs w:val="24"/>
          <w:lang w:val="es-ES"/>
        </w:rPr>
        <w:lastRenderedPageBreak/>
        <w:t>del microbioma y, en contextos seleccionados, trasplante de microbiota fecal. No obstante, la evidencia actual aún no permite establecer recomendaciones estandarizadas, por lo que estas intervenciones deben considerarse en fase experimental.</w:t>
      </w:r>
    </w:p>
    <w:p w14:paraId="41872FC3" w14:textId="62B0C17E" w:rsidR="00B13BEF" w:rsidRPr="003013DE" w:rsidRDefault="00CA0C30" w:rsidP="00B13BEF">
      <w:pPr>
        <w:spacing w:line="360" w:lineRule="auto"/>
        <w:ind w:firstLine="708"/>
        <w:jc w:val="both"/>
        <w:rPr>
          <w:rFonts w:ascii="Times New Roman" w:hAnsi="Times New Roman" w:cs="Times New Roman"/>
          <w:sz w:val="24"/>
          <w:szCs w:val="24"/>
          <w:lang w:val="es-ES"/>
        </w:rPr>
      </w:pPr>
      <w:r w:rsidRPr="003013DE">
        <w:rPr>
          <w:rFonts w:ascii="Times New Roman" w:hAnsi="Times New Roman" w:cs="Times New Roman"/>
          <w:sz w:val="24"/>
          <w:szCs w:val="24"/>
          <w:lang w:val="es-ES"/>
        </w:rPr>
        <w:t xml:space="preserve">Por último, la </w:t>
      </w:r>
      <w:r w:rsidR="002B27FB" w:rsidRPr="003013DE">
        <w:rPr>
          <w:rFonts w:ascii="Times New Roman" w:hAnsi="Times New Roman" w:cs="Times New Roman"/>
          <w:sz w:val="24"/>
          <w:szCs w:val="24"/>
          <w:lang w:val="es-ES"/>
        </w:rPr>
        <w:t xml:space="preserve"> evidencia es particularmente sólida en Parkinson y Esclerosis múltiple desde el punto de vista mecanístico, mientras que en Alzheimer la asociación es fuerte pero predominantemente correlacional. Por tanto, el Objetivo 2 se cumple al demostrar que la microbiota intestinal representa un actor biológico relevante dentro del entramado fisiopatológico de estas enfermedades, consolidando su papel en el paradigma del eje microbiota–intestino–cerebro y justificando futuras investigaciones orientadas a intervenciones moduladoras específicas.</w:t>
      </w:r>
    </w:p>
    <w:p w14:paraId="77C510E3" w14:textId="27C5033A" w:rsidR="001A3DFC" w:rsidRPr="003013DE" w:rsidRDefault="005E14B4" w:rsidP="003013DE">
      <w:pPr>
        <w:pStyle w:val="Textocomentario"/>
        <w:numPr>
          <w:ilvl w:val="1"/>
          <w:numId w:val="27"/>
        </w:numPr>
        <w:spacing w:line="360" w:lineRule="auto"/>
        <w:jc w:val="both"/>
        <w:outlineLvl w:val="1"/>
        <w:rPr>
          <w:rFonts w:ascii="Times New Roman" w:hAnsi="Times New Roman" w:cs="Times New Roman"/>
          <w:b/>
          <w:bCs/>
          <w:sz w:val="24"/>
          <w:szCs w:val="24"/>
          <w:lang w:val="es-ES"/>
        </w:rPr>
      </w:pPr>
      <w:bookmarkStart w:id="152" w:name="_Toc223177231"/>
      <w:r w:rsidRPr="003013DE">
        <w:rPr>
          <w:rFonts w:ascii="Times New Roman" w:eastAsia="Times New Roman" w:hAnsi="Times New Roman" w:cs="Times New Roman"/>
          <w:b/>
          <w:bCs/>
          <w:sz w:val="24"/>
          <w:szCs w:val="24"/>
          <w:lang w:eastAsia="es-ES"/>
        </w:rPr>
        <w:t xml:space="preserve">Objetivo 3. </w:t>
      </w:r>
      <w:r w:rsidR="00482599" w:rsidRPr="003013DE">
        <w:rPr>
          <w:rFonts w:ascii="Times New Roman" w:eastAsia="Times New Roman" w:hAnsi="Times New Roman" w:cs="Times New Roman"/>
          <w:b/>
          <w:bCs/>
          <w:sz w:val="24"/>
          <w:szCs w:val="24"/>
          <w:lang w:eastAsia="es-ES"/>
        </w:rPr>
        <w:t>Revisar críticamente las intervenciones terapéuticas dirigidas a modular el microbiota intestinal y su impacto en la salud neurológica.</w:t>
      </w:r>
      <w:bookmarkEnd w:id="152"/>
    </w:p>
    <w:p w14:paraId="1DFFF35C" w14:textId="538D2DB3" w:rsidR="00FF4BA3" w:rsidRPr="003013DE" w:rsidRDefault="001A3DFC" w:rsidP="005B48E5">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La relación entre la microbiota intestinal y el sistema nervioso central (SNC) ha sido objeto de atención científica creciente en los últimos años, consolidándose el concepto de eje microbiota-intestino-cerebro como una red de comunicación bidireccional que integra señales neuroendocrinas, inmunológicas, metabólicas y nerviosas para regular funciones fisiológicas y conductuales</w:t>
      </w:r>
      <w:r w:rsidR="00C05891" w:rsidRPr="003013DE">
        <w:rPr>
          <w:rFonts w:ascii="Times New Roman" w:hAnsi="Times New Roman" w:cs="Times New Roman"/>
          <w:sz w:val="24"/>
          <w:szCs w:val="24"/>
          <w:vertAlign w:val="superscript"/>
        </w:rPr>
        <w:t>108</w:t>
      </w:r>
      <w:r w:rsidRPr="003013DE">
        <w:rPr>
          <w:rFonts w:ascii="Times New Roman" w:hAnsi="Times New Roman" w:cs="Times New Roman"/>
          <w:sz w:val="24"/>
          <w:szCs w:val="24"/>
        </w:rPr>
        <w:t xml:space="preserve">. </w:t>
      </w:r>
    </w:p>
    <w:p w14:paraId="6A6E0C1C" w14:textId="2652B050" w:rsidR="001A3DFC" w:rsidRPr="003013DE" w:rsidRDefault="001A3DFC" w:rsidP="00E5161A">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A través de esta comunicación, la microbiota intestinal contribuye a la síntesis de neurotransmisores, la producción de metabolitos como ácidos grasos de cadena corta (SCFAs), la modulación de la permeabilidad de la barrera hematoencefálica y la regulación de la inflamación sistémica y cerebral, procesos todos implicados en diversas patologías neurológicas y psiquiátricas (incluyendo depresión, ansiedad, autismo, enfermedad de Parkinson y Alzheimer)</w:t>
      </w:r>
      <w:r w:rsidR="00C05891" w:rsidRPr="003013DE">
        <w:rPr>
          <w:rFonts w:ascii="Times New Roman" w:hAnsi="Times New Roman" w:cs="Times New Roman"/>
          <w:sz w:val="24"/>
          <w:szCs w:val="24"/>
          <w:vertAlign w:val="superscript"/>
        </w:rPr>
        <w:t>108</w:t>
      </w:r>
      <w:r w:rsidR="00C05891" w:rsidRPr="003013DE">
        <w:rPr>
          <w:rFonts w:ascii="Times New Roman" w:hAnsi="Times New Roman" w:cs="Times New Roman"/>
          <w:sz w:val="24"/>
          <w:szCs w:val="24"/>
        </w:rPr>
        <w:t>.</w:t>
      </w:r>
      <w:r w:rsidRPr="003013DE">
        <w:rPr>
          <w:rFonts w:ascii="Times New Roman" w:hAnsi="Times New Roman" w:cs="Times New Roman"/>
          <w:sz w:val="24"/>
          <w:szCs w:val="24"/>
        </w:rPr>
        <w:t xml:space="preserve">  </w:t>
      </w:r>
    </w:p>
    <w:p w14:paraId="1AD380D1" w14:textId="41F5A197" w:rsidR="001A3DFC" w:rsidRPr="003013DE" w:rsidRDefault="001A3DFC" w:rsidP="005B48E5">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Dado este trasfondo molecular y fisiológico, numerosas estrategias terapéuticas han sido propuestas para modular el microbioma con el objetivo de prevenir o mejorar condiciones neurológicas. Estas estrategias incluyen el uso de probióticos, prebióticos, simbióticos, trasplante de microbiota fecal (FMT) y dietas específicas, cada una con mecanismos de acción distintos y grados variables de evidencia clínica</w:t>
      </w:r>
      <w:r w:rsidR="00C05891" w:rsidRPr="003013DE">
        <w:rPr>
          <w:rFonts w:ascii="Times New Roman" w:hAnsi="Times New Roman" w:cs="Times New Roman"/>
          <w:sz w:val="24"/>
          <w:szCs w:val="24"/>
          <w:vertAlign w:val="superscript"/>
        </w:rPr>
        <w:t>108</w:t>
      </w:r>
      <w:r w:rsidRPr="003013DE">
        <w:rPr>
          <w:rFonts w:ascii="Times New Roman" w:hAnsi="Times New Roman" w:cs="Times New Roman"/>
          <w:sz w:val="24"/>
          <w:szCs w:val="24"/>
        </w:rPr>
        <w:t>.</w:t>
      </w:r>
    </w:p>
    <w:p w14:paraId="04B7F5D1" w14:textId="76E22630" w:rsidR="001A3DFC" w:rsidRPr="003013DE" w:rsidRDefault="00E5161A" w:rsidP="003013DE">
      <w:pPr>
        <w:pStyle w:val="Ttulo2"/>
        <w:rPr>
          <w:rFonts w:ascii="Times New Roman" w:hAnsi="Times New Roman" w:cs="Times New Roman"/>
          <w:b/>
          <w:bCs/>
          <w:color w:val="auto"/>
          <w:sz w:val="24"/>
          <w:szCs w:val="24"/>
        </w:rPr>
      </w:pPr>
      <w:bookmarkStart w:id="153" w:name="_Toc223177232"/>
      <w:r w:rsidRPr="003013DE">
        <w:rPr>
          <w:rFonts w:ascii="Times New Roman" w:hAnsi="Times New Roman" w:cs="Times New Roman"/>
          <w:b/>
          <w:bCs/>
          <w:color w:val="auto"/>
          <w:sz w:val="24"/>
          <w:szCs w:val="24"/>
        </w:rPr>
        <w:lastRenderedPageBreak/>
        <w:t xml:space="preserve">4.3.1 </w:t>
      </w:r>
      <w:r w:rsidR="001A3DFC" w:rsidRPr="003013DE">
        <w:rPr>
          <w:rFonts w:ascii="Times New Roman" w:hAnsi="Times New Roman" w:cs="Times New Roman"/>
          <w:b/>
          <w:bCs/>
          <w:color w:val="auto"/>
          <w:sz w:val="24"/>
          <w:szCs w:val="24"/>
        </w:rPr>
        <w:t>Probióticos y su efecto sobre la función neurológica</w:t>
      </w:r>
      <w:bookmarkEnd w:id="153"/>
    </w:p>
    <w:p w14:paraId="54281812" w14:textId="723915F8" w:rsidR="001A3DFC" w:rsidRPr="003013DE" w:rsidRDefault="001A3DFC" w:rsidP="00F64C3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Los probióticos son microorganismos vivos que, cuando se administran en cantidades adecuadas, se espera que aporten beneficios a la salud del huésped mediante la modulación del perfil microbiano intestinal y la función inmunometabólica. En el contexto del eje microbiota-cerebro, se ha documentado que ciertas cepas probióticas pueden influir sobre la producción de neurotransmisores (p. ej., GABA, serotonina), la actividad del sistema inmunitario intestinal y periférico, y la producción de SCFAs que a su vez pueden cruzar la barrera intestinal y modular funciones neuronales y neuroinflamatorias</w:t>
      </w:r>
      <w:r w:rsidR="009F5F9B" w:rsidRPr="003013DE">
        <w:rPr>
          <w:rFonts w:ascii="Times New Roman" w:hAnsi="Times New Roman" w:cs="Times New Roman"/>
          <w:sz w:val="24"/>
          <w:szCs w:val="24"/>
          <w:vertAlign w:val="superscript"/>
        </w:rPr>
        <w:t>108,109</w:t>
      </w:r>
      <w:r w:rsidRPr="003013DE">
        <w:rPr>
          <w:rFonts w:ascii="Times New Roman" w:hAnsi="Times New Roman" w:cs="Times New Roman"/>
          <w:sz w:val="24"/>
          <w:szCs w:val="24"/>
        </w:rPr>
        <w:t xml:space="preserve">.  </w:t>
      </w:r>
    </w:p>
    <w:p w14:paraId="52F897B4" w14:textId="4D17E6F7" w:rsidR="001A3DFC" w:rsidRPr="003013DE" w:rsidRDefault="001A3DFC" w:rsidP="00F64C3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En estudios preclínicos, diversos probióticos han demostrado la capacidad de modular la respuesta inflamatoria y mejorar marcadores de neuroplasticidad y neurodesarrollo. Por ejemplo, la administración de combinaciones de Bifidobacterium y Lactobacillus en modelos animales fue asociada con una mejora en funciones cognitivas y reducción de signos de inflamación sistémica, indicando la capacidad de estas cepas para influir en la biología del SNC</w:t>
      </w:r>
      <w:r w:rsidR="009F5F9B" w:rsidRPr="003013DE">
        <w:rPr>
          <w:rFonts w:ascii="Times New Roman" w:hAnsi="Times New Roman" w:cs="Times New Roman"/>
          <w:sz w:val="24"/>
          <w:szCs w:val="24"/>
          <w:vertAlign w:val="superscript"/>
        </w:rPr>
        <w:t>109</w:t>
      </w:r>
      <w:r w:rsidRPr="003013DE">
        <w:rPr>
          <w:rFonts w:ascii="Times New Roman" w:hAnsi="Times New Roman" w:cs="Times New Roman"/>
          <w:sz w:val="24"/>
          <w:szCs w:val="24"/>
        </w:rPr>
        <w:t xml:space="preserve">.  </w:t>
      </w:r>
    </w:p>
    <w:p w14:paraId="39380BB5" w14:textId="31F69495" w:rsidR="001A3DFC" w:rsidRPr="003013DE" w:rsidRDefault="001A3DFC" w:rsidP="00F64C3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En humanos, la evidencia clínica es más heterogénea pero creciente. Ensayos clínicos controlados y revisiones sistemáticas han encontrado que la suplementación con probióticos puede mejorar síntomas asociados con enfermedades neuropsiquiátricas y cognición en adultos mayores. Por ejemplo, metaanálisis recientes han identificado efectos positivos del uso de probióticos sobre el rendimiento cognitivo en ancianos y mejoría de la calidad de vida en personas con deterioro neurocognitivo leve, aunque los tamaños del efecto y la magnitud clínica son variables</w:t>
      </w:r>
      <w:r w:rsidR="009F5F9B" w:rsidRPr="003013DE">
        <w:rPr>
          <w:rFonts w:ascii="Times New Roman" w:hAnsi="Times New Roman" w:cs="Times New Roman"/>
          <w:sz w:val="24"/>
          <w:szCs w:val="24"/>
          <w:vertAlign w:val="superscript"/>
        </w:rPr>
        <w:t>109</w:t>
      </w:r>
      <w:r w:rsidRPr="003013DE">
        <w:rPr>
          <w:rFonts w:ascii="Times New Roman" w:hAnsi="Times New Roman" w:cs="Times New Roman"/>
          <w:sz w:val="24"/>
          <w:szCs w:val="24"/>
        </w:rPr>
        <w:t xml:space="preserve">. </w:t>
      </w:r>
    </w:p>
    <w:p w14:paraId="3625F3CC" w14:textId="0AA0C5CA" w:rsidR="001A3DFC" w:rsidRPr="003013DE" w:rsidRDefault="001A3DFC" w:rsidP="005B48E5">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No obstante, cabe destacar que muchos estudios clínicos sobre probióticos presentan limitaciones metodológicas (tamaños muestrales pequeños, variedad de cepas y dosificaciones), lo que dificulta la formulación de recomendaciones clínicas firmes. A pesar de ello, el potencial de los probióticos como moduladores del eje microbiota-cerebro ha sido reconocido como un área promisoria para estrategias terapéuticas complementarias, particularmente cuando se combinan con otros enfoques dietéticos o de estilo de vida</w:t>
      </w:r>
      <w:r w:rsidR="009F5F9B" w:rsidRPr="003013DE">
        <w:rPr>
          <w:rFonts w:ascii="Times New Roman" w:hAnsi="Times New Roman" w:cs="Times New Roman"/>
          <w:sz w:val="24"/>
          <w:szCs w:val="24"/>
          <w:vertAlign w:val="superscript"/>
        </w:rPr>
        <w:t>109</w:t>
      </w:r>
      <w:r w:rsidRPr="003013DE">
        <w:rPr>
          <w:rFonts w:ascii="Times New Roman" w:hAnsi="Times New Roman" w:cs="Times New Roman"/>
          <w:sz w:val="24"/>
          <w:szCs w:val="24"/>
        </w:rPr>
        <w:t xml:space="preserve">. </w:t>
      </w:r>
    </w:p>
    <w:p w14:paraId="56D1FFB6" w14:textId="3DDB0982" w:rsidR="001A3DFC" w:rsidRPr="003013DE" w:rsidRDefault="00F64C32" w:rsidP="003013DE">
      <w:pPr>
        <w:pStyle w:val="Ttulo3"/>
        <w:rPr>
          <w:rFonts w:ascii="Times New Roman" w:hAnsi="Times New Roman" w:cs="Times New Roman"/>
          <w:b/>
          <w:bCs/>
          <w:color w:val="auto"/>
          <w:sz w:val="24"/>
          <w:szCs w:val="24"/>
        </w:rPr>
      </w:pPr>
      <w:bookmarkStart w:id="154" w:name="_Toc223177233"/>
      <w:r w:rsidRPr="003013DE">
        <w:rPr>
          <w:rFonts w:ascii="Times New Roman" w:hAnsi="Times New Roman" w:cs="Times New Roman"/>
          <w:b/>
          <w:bCs/>
          <w:color w:val="auto"/>
          <w:sz w:val="24"/>
          <w:szCs w:val="24"/>
        </w:rPr>
        <w:t xml:space="preserve">4.3.1.1 </w:t>
      </w:r>
      <w:r w:rsidR="001A3DFC" w:rsidRPr="003013DE">
        <w:rPr>
          <w:rFonts w:ascii="Times New Roman" w:hAnsi="Times New Roman" w:cs="Times New Roman"/>
          <w:b/>
          <w:bCs/>
          <w:color w:val="auto"/>
          <w:sz w:val="24"/>
          <w:szCs w:val="24"/>
        </w:rPr>
        <w:t>Prebióticos, simbióticos y metabolitos microbianos</w:t>
      </w:r>
      <w:bookmarkEnd w:id="154"/>
    </w:p>
    <w:p w14:paraId="62D93ECB" w14:textId="00554D82" w:rsidR="001A3DFC" w:rsidRPr="003013DE" w:rsidRDefault="001A3DFC" w:rsidP="00F64C3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 xml:space="preserve">Los prebióticos son compuestos no digeribles (principalmente fibras alimentarias como fructooligosacáridos o galactooligosacáridos) que estimulan selectivamente el </w:t>
      </w:r>
      <w:r w:rsidRPr="003013DE">
        <w:rPr>
          <w:rFonts w:ascii="Times New Roman" w:hAnsi="Times New Roman" w:cs="Times New Roman"/>
          <w:sz w:val="24"/>
          <w:szCs w:val="24"/>
        </w:rPr>
        <w:lastRenderedPageBreak/>
        <w:t>crecimiento de bacterias beneficiosas del intestino. Al favorecer estas poblaciones bacterianas, los prebióticos pueden incrementar la producción de SCFAs, que actúan como señales metabólicas capaces de influir sobre el sistema inmunológico y el SNC, mejorando la barrera intestinal y reduciendo la neuroinflamación</w:t>
      </w:r>
      <w:r w:rsidR="00F67EC9" w:rsidRPr="003013DE">
        <w:rPr>
          <w:rFonts w:ascii="Times New Roman" w:hAnsi="Times New Roman" w:cs="Times New Roman"/>
          <w:sz w:val="24"/>
          <w:szCs w:val="24"/>
          <w:vertAlign w:val="superscript"/>
        </w:rPr>
        <w:t>110</w:t>
      </w:r>
      <w:r w:rsidRPr="003013DE">
        <w:rPr>
          <w:rFonts w:ascii="Times New Roman" w:hAnsi="Times New Roman" w:cs="Times New Roman"/>
          <w:sz w:val="24"/>
          <w:szCs w:val="24"/>
        </w:rPr>
        <w:t xml:space="preserve">.  </w:t>
      </w:r>
    </w:p>
    <w:p w14:paraId="1B45B8D2" w14:textId="0E2071AF" w:rsidR="00F64C32" w:rsidRPr="003013DE" w:rsidRDefault="001A3DFC" w:rsidP="00F64C3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Además, los simbióticos (combinaciones de probióticos y prebióticos) buscan maximizar los beneficios de ambos mediante la mejora de la supervivencia de las bacterias administradas y la estimulación selectiva de su colonización y actividad funcional. En modelos experimentales de enfermedad de Alzheimer, combinaciones simbióticas han mostrado mejoras en marcadores conductuales y neuroinflamatorios, lo que sugiere un efecto sinérgico en la modulación del eje microbiota-cerebro</w:t>
      </w:r>
      <w:r w:rsidR="00F67EC9" w:rsidRPr="003013DE">
        <w:rPr>
          <w:rFonts w:ascii="Times New Roman" w:hAnsi="Times New Roman" w:cs="Times New Roman"/>
          <w:sz w:val="24"/>
          <w:szCs w:val="24"/>
          <w:vertAlign w:val="superscript"/>
        </w:rPr>
        <w:t>107</w:t>
      </w:r>
      <w:r w:rsidR="00097193" w:rsidRPr="003013DE">
        <w:rPr>
          <w:rFonts w:ascii="Times New Roman" w:hAnsi="Times New Roman" w:cs="Times New Roman"/>
          <w:sz w:val="24"/>
          <w:szCs w:val="24"/>
          <w:vertAlign w:val="superscript"/>
        </w:rPr>
        <w:t>-10o</w:t>
      </w:r>
      <w:r w:rsidRPr="003013DE">
        <w:rPr>
          <w:rFonts w:ascii="Times New Roman" w:hAnsi="Times New Roman" w:cs="Times New Roman"/>
          <w:sz w:val="24"/>
          <w:szCs w:val="24"/>
        </w:rPr>
        <w:t xml:space="preserve">.  </w:t>
      </w:r>
    </w:p>
    <w:p w14:paraId="1C57A6CF" w14:textId="2645FA0E" w:rsidR="001A3DFC" w:rsidRPr="003013DE" w:rsidRDefault="001A3DFC" w:rsidP="00F64C3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La investigación humana en este campo es menos extensa que para los probióticos, y aunque algunos ensayos sugieren beneficios sobre salud gastrointestinal y marcadores metabólicos, la evidencia sobre mejoras significativas en resultados clínicos neurológicos permanece preliminar. Esto resalta la necesidad de estudios bien controlados y de mayor duración para evaluar de manera concluyente el impacto clínico de prebióticos y simbióticos en la función cerebral y conductual</w:t>
      </w:r>
      <w:r w:rsidR="00097193" w:rsidRPr="003013DE">
        <w:rPr>
          <w:rFonts w:ascii="Times New Roman" w:hAnsi="Times New Roman" w:cs="Times New Roman"/>
          <w:sz w:val="24"/>
          <w:szCs w:val="24"/>
          <w:vertAlign w:val="superscript"/>
        </w:rPr>
        <w:t>110</w:t>
      </w:r>
      <w:r w:rsidRPr="003013DE">
        <w:rPr>
          <w:rFonts w:ascii="Times New Roman" w:hAnsi="Times New Roman" w:cs="Times New Roman"/>
          <w:sz w:val="24"/>
          <w:szCs w:val="24"/>
        </w:rPr>
        <w:t xml:space="preserve">.  </w:t>
      </w:r>
    </w:p>
    <w:p w14:paraId="232D5E76" w14:textId="493A181F" w:rsidR="001A3DFC" w:rsidRPr="003013DE" w:rsidRDefault="00253472" w:rsidP="003013DE">
      <w:pPr>
        <w:pStyle w:val="Ttulo2"/>
        <w:rPr>
          <w:rFonts w:ascii="Times New Roman" w:hAnsi="Times New Roman" w:cs="Times New Roman"/>
          <w:b/>
          <w:bCs/>
          <w:color w:val="auto"/>
          <w:sz w:val="24"/>
          <w:szCs w:val="24"/>
        </w:rPr>
      </w:pPr>
      <w:bookmarkStart w:id="155" w:name="_Toc223177234"/>
      <w:r w:rsidRPr="003013DE">
        <w:rPr>
          <w:rFonts w:ascii="Times New Roman" w:hAnsi="Times New Roman" w:cs="Times New Roman"/>
          <w:b/>
          <w:bCs/>
          <w:color w:val="auto"/>
          <w:sz w:val="24"/>
          <w:szCs w:val="24"/>
        </w:rPr>
        <w:t xml:space="preserve">4.3.2 </w:t>
      </w:r>
      <w:r w:rsidR="001A3DFC" w:rsidRPr="003013DE">
        <w:rPr>
          <w:rFonts w:ascii="Times New Roman" w:hAnsi="Times New Roman" w:cs="Times New Roman"/>
          <w:b/>
          <w:bCs/>
          <w:color w:val="auto"/>
          <w:sz w:val="24"/>
          <w:szCs w:val="24"/>
        </w:rPr>
        <w:t>Trasplante de microbiota fecal (FMT) y terapias de transferencia de microbiota</w:t>
      </w:r>
      <w:bookmarkEnd w:id="155"/>
    </w:p>
    <w:p w14:paraId="37A8BEA6" w14:textId="02320166" w:rsidR="001A3DFC" w:rsidRPr="003013DE" w:rsidRDefault="001A3DFC" w:rsidP="0025347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El trasplante de microbiota fecal (FMT) consiste en la transferencia de microbiota intestinal de donantes sanos a pacientes con disbiosis, con el objetivo de restablecer un ecosistema bacteriano equilibrado. Aunque FMT se ha consolidado clínicamente para el tratamiento de Clostridioides difficile, su aplicación en enfermedades neurológicas es un área de investigación emergente</w:t>
      </w:r>
      <w:r w:rsidR="00097193" w:rsidRPr="003013DE">
        <w:rPr>
          <w:rFonts w:ascii="Times New Roman" w:hAnsi="Times New Roman" w:cs="Times New Roman"/>
          <w:sz w:val="24"/>
          <w:szCs w:val="24"/>
          <w:vertAlign w:val="superscript"/>
        </w:rPr>
        <w:t>108-110</w:t>
      </w:r>
      <w:r w:rsidRPr="003013DE">
        <w:rPr>
          <w:rFonts w:ascii="Times New Roman" w:hAnsi="Times New Roman" w:cs="Times New Roman"/>
          <w:sz w:val="24"/>
          <w:szCs w:val="24"/>
        </w:rPr>
        <w:t xml:space="preserve">.  </w:t>
      </w:r>
    </w:p>
    <w:p w14:paraId="1A54468F" w14:textId="385E88C7" w:rsidR="001A3DFC" w:rsidRPr="003013DE" w:rsidRDefault="001A3DFC" w:rsidP="00552A7A">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En estudios preclínicos, FMT ha mostrado la capacidad de modificar características conductuales y neuropatológicas en modelos animales de enfermedad de Parkinson y otros trastornos neurodegenerativos. En ratones tratados con FMT de donantes sanos, se ha observado una reducción de microglia activada y mejorías en comportamientos relacionados con el SNC, lo que sugiere que la recolonización microbiana puede influir sobre la neuroinflamación y la función neuronal</w:t>
      </w:r>
      <w:r w:rsidR="00097193" w:rsidRPr="003013DE">
        <w:rPr>
          <w:rFonts w:ascii="Times New Roman" w:hAnsi="Times New Roman" w:cs="Times New Roman"/>
          <w:sz w:val="24"/>
          <w:szCs w:val="24"/>
          <w:vertAlign w:val="superscript"/>
        </w:rPr>
        <w:t>108,109</w:t>
      </w:r>
      <w:r w:rsidRPr="003013DE">
        <w:rPr>
          <w:rFonts w:ascii="Times New Roman" w:hAnsi="Times New Roman" w:cs="Times New Roman"/>
          <w:sz w:val="24"/>
          <w:szCs w:val="24"/>
        </w:rPr>
        <w:t xml:space="preserve">.  </w:t>
      </w:r>
    </w:p>
    <w:p w14:paraId="24480586" w14:textId="2B6E495A" w:rsidR="001A3DFC" w:rsidRPr="003013DE" w:rsidRDefault="001A3DFC" w:rsidP="00552A7A">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lastRenderedPageBreak/>
        <w:t>Evidencia clínica preliminar y casos reportados sugieren beneficios potenciales de FMT en pacientes con Parkinson y otros desórdenes neurológicos, como mejoras en síntomas motores, gastrointestinales y, en algunos casos, cognitivos, aunque estas observaciones provienen de estudios pequeños, no siempre controlados, y con protocolos heterogéneos de donación y administración</w:t>
      </w:r>
      <w:r w:rsidR="00097193" w:rsidRPr="003013DE">
        <w:rPr>
          <w:rFonts w:ascii="Times New Roman" w:hAnsi="Times New Roman" w:cs="Times New Roman"/>
          <w:sz w:val="24"/>
          <w:szCs w:val="24"/>
          <w:vertAlign w:val="superscript"/>
        </w:rPr>
        <w:t>q10</w:t>
      </w:r>
      <w:r w:rsidRPr="003013DE">
        <w:rPr>
          <w:rFonts w:ascii="Times New Roman" w:hAnsi="Times New Roman" w:cs="Times New Roman"/>
          <w:sz w:val="24"/>
          <w:szCs w:val="24"/>
        </w:rPr>
        <w:t xml:space="preserve">.  </w:t>
      </w:r>
    </w:p>
    <w:p w14:paraId="444B43F7" w14:textId="03EA164C" w:rsidR="00552A7A" w:rsidRPr="003013DE" w:rsidRDefault="001A3DFC" w:rsidP="00552A7A">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Además, FMT también está siendo evaluado en trastornos del neurodesarrollo, como el trastorno del espectro autista (TEA), en estudios clínicos que buscan determinar si la modulación del eje microbiota-cerebro puede mejorar conductas asociadas y síntomas gastrointestinales, aunque los resultados definitivos aún no están completamente publicados</w:t>
      </w:r>
      <w:r w:rsidR="00097193" w:rsidRPr="003013DE">
        <w:rPr>
          <w:rFonts w:ascii="Times New Roman" w:hAnsi="Times New Roman" w:cs="Times New Roman"/>
          <w:sz w:val="24"/>
          <w:szCs w:val="24"/>
          <w:vertAlign w:val="superscript"/>
        </w:rPr>
        <w:t>110</w:t>
      </w:r>
      <w:r w:rsidRPr="003013DE">
        <w:rPr>
          <w:rFonts w:ascii="Times New Roman" w:hAnsi="Times New Roman" w:cs="Times New Roman"/>
          <w:sz w:val="24"/>
          <w:szCs w:val="24"/>
        </w:rPr>
        <w:t xml:space="preserve">. </w:t>
      </w:r>
    </w:p>
    <w:p w14:paraId="3FF3EBED" w14:textId="6ACE3615" w:rsidR="001A3DFC" w:rsidRPr="003013DE" w:rsidRDefault="001A3DFC" w:rsidP="00552A7A">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 xml:space="preserve">A pesar de los resultados prometedores, existen desafíos y preocupaciones éticas y de seguridad asociados con la aplicación de FMT en contextos neurológicos, incluyendo la necesidad de una selección rigurosa de donantes, la estandarización de protocolos y la monitorización de efectos adversos a largo plazo. </w:t>
      </w:r>
    </w:p>
    <w:p w14:paraId="7D63555E" w14:textId="08152C0E" w:rsidR="00F731AB" w:rsidRPr="003013DE" w:rsidRDefault="000203EE" w:rsidP="003013DE">
      <w:pPr>
        <w:pStyle w:val="Ttulo2"/>
        <w:rPr>
          <w:rFonts w:ascii="Times New Roman" w:hAnsi="Times New Roman" w:cs="Times New Roman"/>
          <w:b/>
          <w:bCs/>
          <w:color w:val="auto"/>
          <w:sz w:val="24"/>
          <w:szCs w:val="24"/>
        </w:rPr>
      </w:pPr>
      <w:bookmarkStart w:id="156" w:name="_Toc223177235"/>
      <w:r w:rsidRPr="003013DE">
        <w:rPr>
          <w:rFonts w:ascii="Times New Roman" w:hAnsi="Times New Roman" w:cs="Times New Roman"/>
          <w:b/>
          <w:bCs/>
          <w:color w:val="auto"/>
          <w:sz w:val="24"/>
          <w:szCs w:val="24"/>
        </w:rPr>
        <w:t xml:space="preserve">4.3.3 </w:t>
      </w:r>
      <w:r w:rsidR="00502472" w:rsidRPr="003013DE">
        <w:rPr>
          <w:rFonts w:ascii="Times New Roman" w:hAnsi="Times New Roman" w:cs="Times New Roman"/>
          <w:b/>
          <w:bCs/>
          <w:color w:val="auto"/>
          <w:sz w:val="24"/>
          <w:szCs w:val="24"/>
        </w:rPr>
        <w:t>Alimentación y uso de antibióticos</w:t>
      </w:r>
      <w:bookmarkEnd w:id="156"/>
      <w:r w:rsidR="00502472" w:rsidRPr="003013DE">
        <w:rPr>
          <w:rFonts w:ascii="Times New Roman" w:hAnsi="Times New Roman" w:cs="Times New Roman"/>
          <w:b/>
          <w:bCs/>
          <w:color w:val="auto"/>
          <w:sz w:val="24"/>
          <w:szCs w:val="24"/>
        </w:rPr>
        <w:t xml:space="preserve"> </w:t>
      </w:r>
    </w:p>
    <w:p w14:paraId="62C00E23" w14:textId="4BC79903" w:rsidR="00F731AB" w:rsidRPr="003013DE" w:rsidRDefault="00F731AB" w:rsidP="00F731AB">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La alimentación constituye uno de los factores más influyentes y modificables en la composición y funcionalidad de la microbiota intestinal, con efectos profundos sobre el eje microbiota-intestino-cerebro (MGBA). Desde una perspectiva fisiológica, la dieta no solo provee nutrientes al huésped, sino que actúa como sustrato principal para el metabolismo microbiano, determinando la abundancia relativa de bacterias beneficiosas o potencialmente patógenas, así como la producción de metabolitos con efectos neuroactivos, inmunomoduladores o antiinflamatorios</w:t>
      </w:r>
      <w:r w:rsidR="00B10F4C" w:rsidRPr="003013DE">
        <w:rPr>
          <w:rFonts w:ascii="Times New Roman" w:hAnsi="Times New Roman" w:cs="Times New Roman"/>
          <w:sz w:val="24"/>
          <w:szCs w:val="24"/>
          <w:vertAlign w:val="superscript"/>
        </w:rPr>
        <w:t>112</w:t>
      </w:r>
      <w:r w:rsidRPr="003013DE">
        <w:rPr>
          <w:rFonts w:ascii="Times New Roman" w:hAnsi="Times New Roman" w:cs="Times New Roman"/>
          <w:sz w:val="24"/>
          <w:szCs w:val="24"/>
        </w:rPr>
        <w:t xml:space="preserve">. </w:t>
      </w:r>
    </w:p>
    <w:p w14:paraId="6AE09025" w14:textId="09F05B22" w:rsidR="00F731AB" w:rsidRPr="003013DE" w:rsidRDefault="00C81FD3" w:rsidP="00F731AB">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 xml:space="preserve">Es importante mencionar, ue recientemente se </w:t>
      </w:r>
      <w:r w:rsidR="00F731AB" w:rsidRPr="003013DE">
        <w:rPr>
          <w:rFonts w:ascii="Times New Roman" w:hAnsi="Times New Roman" w:cs="Times New Roman"/>
          <w:sz w:val="24"/>
          <w:szCs w:val="24"/>
        </w:rPr>
        <w:t>sugiere que patrones dietéticos ricos en alimentos naturales, fibra dietética, polifenoles y compuestos antiinflamatorios favorecen un microbioma con mayor diversidad y funcionalidad, lo cual se ha asociado con una mejoría en parámetros cognitivos, disminución de marcadores de inflamación sistémica y potencial reducción del riesgo de trastornos neuropsiquiátricos y neurodegenerativos</w:t>
      </w:r>
      <w:r w:rsidR="00B10F4C" w:rsidRPr="003013DE">
        <w:rPr>
          <w:rFonts w:ascii="Times New Roman" w:hAnsi="Times New Roman" w:cs="Times New Roman"/>
          <w:sz w:val="24"/>
          <w:szCs w:val="24"/>
          <w:vertAlign w:val="superscript"/>
        </w:rPr>
        <w:t>112</w:t>
      </w:r>
      <w:r w:rsidR="00F731AB" w:rsidRPr="003013DE">
        <w:rPr>
          <w:rFonts w:ascii="Times New Roman" w:hAnsi="Times New Roman" w:cs="Times New Roman"/>
          <w:sz w:val="24"/>
          <w:szCs w:val="24"/>
        </w:rPr>
        <w:t xml:space="preserve">. </w:t>
      </w:r>
    </w:p>
    <w:p w14:paraId="2C1C7311" w14:textId="5C8C14B9" w:rsidR="00F731AB" w:rsidRPr="003013DE" w:rsidRDefault="00F731AB" w:rsidP="00F731AB">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 xml:space="preserve">En contraste, dietas hipercalóricas, ricas en grasas saturadas y azúcares, características del patrón occidental, promueven disbiosis caracterizada por menor diversidad </w:t>
      </w:r>
      <w:r w:rsidRPr="003013DE">
        <w:rPr>
          <w:rFonts w:ascii="Times New Roman" w:hAnsi="Times New Roman" w:cs="Times New Roman"/>
          <w:sz w:val="24"/>
          <w:szCs w:val="24"/>
        </w:rPr>
        <w:lastRenderedPageBreak/>
        <w:t>microbiana y producción reducida de metabolitos como los ácidos grasos de cadena corta (SCFAs)facilitando procesos inflamatorios, alteración de la barrera intestinal y una señalización alterada del eje MGBA hacia el SNC, lo que se ha vinculado con mayor riesgo de ansiedad, depresión y deterioro cognitivo. Estas observaciones han sido sintetizadas en propuestas conceptuales como el “diet–microbiota–gut–brain axis” que encapsula cómo la ingesta alimentaria influye en la salud neurológica a través de cambios en la microbiota intestinal y sus interacciones funcionales con el sistema nervioso central</w:t>
      </w:r>
      <w:r w:rsidR="00B10F4C" w:rsidRPr="003013DE">
        <w:rPr>
          <w:rFonts w:ascii="Times New Roman" w:hAnsi="Times New Roman" w:cs="Times New Roman"/>
          <w:sz w:val="24"/>
          <w:szCs w:val="24"/>
          <w:vertAlign w:val="superscript"/>
        </w:rPr>
        <w:t>113</w:t>
      </w:r>
      <w:r w:rsidRPr="003013DE">
        <w:rPr>
          <w:rFonts w:ascii="Times New Roman" w:hAnsi="Times New Roman" w:cs="Times New Roman"/>
          <w:sz w:val="24"/>
          <w:szCs w:val="24"/>
        </w:rPr>
        <w:t xml:space="preserve">. </w:t>
      </w:r>
    </w:p>
    <w:p w14:paraId="2948E127" w14:textId="0696CE19" w:rsidR="00F731AB" w:rsidRPr="003013DE" w:rsidRDefault="00F731AB" w:rsidP="00C81FD3">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Dentro de este marco, intervenciones dietéticas específicas han sido exploradas con fines terapéuticos y profilácticos. Estudios clínicos y revisiones han documentado que dietas ricas en fibra prebiótica (como las presentes en frutas, verduras y granos enteros) y alimentos fermentados ricos en probióticos naturales (por ejemplo, yogur, kéfir, chucrut) pueden modular positivamente la microbiota, incrementando la abundancia de bacterias productoras de SCFAs como Faecalibacterium prausnitzii o Bifidobacterium spp. lo cual se ha asociado con mejoras en métricas de bienestar emocional y funcionalidad cognitiva, a través de mecanismos que incluyen la reducción de neuroinflamación y la modulación de neurotransmisores como serotonina y GABA</w:t>
      </w:r>
      <w:r w:rsidR="00B10F4C" w:rsidRPr="003013DE">
        <w:rPr>
          <w:rFonts w:ascii="Times New Roman" w:hAnsi="Times New Roman" w:cs="Times New Roman"/>
          <w:sz w:val="24"/>
          <w:szCs w:val="24"/>
          <w:vertAlign w:val="superscript"/>
        </w:rPr>
        <w:t>113</w:t>
      </w:r>
      <w:r w:rsidRPr="003013DE">
        <w:rPr>
          <w:rFonts w:ascii="Times New Roman" w:hAnsi="Times New Roman" w:cs="Times New Roman"/>
          <w:sz w:val="24"/>
          <w:szCs w:val="24"/>
        </w:rPr>
        <w:t xml:space="preserve">. </w:t>
      </w:r>
    </w:p>
    <w:p w14:paraId="4EA41298" w14:textId="4299E8A6" w:rsidR="00C81FD3" w:rsidRPr="003013DE" w:rsidRDefault="00F731AB" w:rsidP="00C81FD3">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La dieta también constituye una herramienta vital para la prevención secundaria de impactos negativos sobre la microbiota derivados de otras intervenciones, como el uso de antibióticos. En este contexto, el uso controlado de antibióticos representa un enfoque terapéutico doble: por un lado es indispensable para tratar infecciones bacterianas; por otro, su impacto sobre el microbioma puede ser profundo y prolongado, con consecuencias negativas potenciales para la comunicación entre el intestino y el cerebro. Numerosos estudios han demostrado que los antibióticos de amplio espectro reducen drásticamente la diversidad microbiana y alteran la estructura de las comunidades bacterianas intestinales, eliminando tanto patógenos como especies beneficiosas. Esta disrupción puede favorecer el sobrecrecimiento de microorganismos oportunistas (por ejemplo Clostridioides difficile) y disminuir la producción de metabolitos clave como ciertos SCFAs que tienen roles antiinflamatorios y moduladores de barrera intestinal</w:t>
      </w:r>
      <w:r w:rsidR="00D4675C" w:rsidRPr="003013DE">
        <w:rPr>
          <w:rFonts w:ascii="Times New Roman" w:hAnsi="Times New Roman" w:cs="Times New Roman"/>
          <w:sz w:val="24"/>
          <w:szCs w:val="24"/>
          <w:vertAlign w:val="superscript"/>
        </w:rPr>
        <w:t>114</w:t>
      </w:r>
      <w:r w:rsidRPr="003013DE">
        <w:rPr>
          <w:rFonts w:ascii="Times New Roman" w:hAnsi="Times New Roman" w:cs="Times New Roman"/>
          <w:sz w:val="24"/>
          <w:szCs w:val="24"/>
        </w:rPr>
        <w:t xml:space="preserve">. </w:t>
      </w:r>
    </w:p>
    <w:p w14:paraId="571D3425" w14:textId="51D7C01D" w:rsidR="00514232" w:rsidRPr="003013DE" w:rsidRDefault="00F731AB" w:rsidP="00514232">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 xml:space="preserve">El impacto de la disbiosis inducida por antibióticos no se limita al ámbito gastrointestinal, sino que se extiende al sistema nervioso central. Evidencia en modelos </w:t>
      </w:r>
      <w:r w:rsidRPr="003013DE">
        <w:rPr>
          <w:rFonts w:ascii="Times New Roman" w:hAnsi="Times New Roman" w:cs="Times New Roman"/>
          <w:sz w:val="24"/>
          <w:szCs w:val="24"/>
        </w:rPr>
        <w:lastRenderedPageBreak/>
        <w:t>animales destaca que la alteración de la microbiota por antibióticos puede desencadenar cambios en la expresión de factores neurotróficos (como BDNF), niveles de neurotransmisores y actividad del nervio vago, elementos todos cruciales para funciones cognitivas, conducta emocional y estrés neuroendocrino. Estos cambios han sido asociados con alteraciones conductuales relacionadas con ansiedad, memoria y otras funciones neurológicas en ratones tratados con antibióticos, aunque los mecanismos específicos todavía se encuentran en investigación intensiva y los resultados no son completamente consistentes entre estudios</w:t>
      </w:r>
      <w:r w:rsidR="00D4675C" w:rsidRPr="003013DE">
        <w:rPr>
          <w:rFonts w:ascii="Times New Roman" w:hAnsi="Times New Roman" w:cs="Times New Roman"/>
          <w:sz w:val="24"/>
          <w:szCs w:val="24"/>
          <w:vertAlign w:val="superscript"/>
        </w:rPr>
        <w:t>114</w:t>
      </w:r>
      <w:r w:rsidRPr="003013DE">
        <w:rPr>
          <w:rFonts w:ascii="Times New Roman" w:hAnsi="Times New Roman" w:cs="Times New Roman"/>
          <w:sz w:val="24"/>
          <w:szCs w:val="24"/>
        </w:rPr>
        <w:t xml:space="preserve">. </w:t>
      </w:r>
    </w:p>
    <w:p w14:paraId="744FF42A" w14:textId="19AB8BA9" w:rsidR="00F731AB" w:rsidRPr="003013DE" w:rsidRDefault="00514232" w:rsidP="00F731AB">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 xml:space="preserve">Por último, afortunadamente </w:t>
      </w:r>
      <w:r w:rsidR="004E31C3" w:rsidRPr="003013DE">
        <w:rPr>
          <w:rFonts w:ascii="Times New Roman" w:hAnsi="Times New Roman" w:cs="Times New Roman"/>
          <w:sz w:val="24"/>
          <w:szCs w:val="24"/>
        </w:rPr>
        <w:t xml:space="preserve">al día de hoy </w:t>
      </w:r>
      <w:r w:rsidR="00F731AB" w:rsidRPr="003013DE">
        <w:rPr>
          <w:rFonts w:ascii="Times New Roman" w:hAnsi="Times New Roman" w:cs="Times New Roman"/>
          <w:sz w:val="24"/>
          <w:szCs w:val="24"/>
        </w:rPr>
        <w:t>terapéuticas que combinan uso racional de antibióticos con estrategias de apoyo nutricional están emergiendo como un enfoque integral para mitigar efectos adversos sobre la microbiota y preservar la salud neurológica. Uno de los aspectos clave de estas estrategias es limitar el uso de antibióticos solo a situaciones donde sean clínicamente necesarios, evitando ciclos repetidos de prescripción sin indicación, y en paralelo fomentar una alimentación que apoye la recuperación de la diversidad microbiana post-tratamiento, mediante mayor consumo de alimentos ricos en prebióticos y probióticos naturales</w:t>
      </w:r>
      <w:r w:rsidR="00D4675C" w:rsidRPr="003013DE">
        <w:rPr>
          <w:rFonts w:ascii="Times New Roman" w:hAnsi="Times New Roman" w:cs="Times New Roman"/>
          <w:sz w:val="24"/>
          <w:szCs w:val="24"/>
          <w:vertAlign w:val="superscript"/>
        </w:rPr>
        <w:t>114</w:t>
      </w:r>
      <w:r w:rsidR="00F731AB" w:rsidRPr="003013DE">
        <w:rPr>
          <w:rFonts w:ascii="Times New Roman" w:hAnsi="Times New Roman" w:cs="Times New Roman"/>
          <w:sz w:val="24"/>
          <w:szCs w:val="24"/>
        </w:rPr>
        <w:t xml:space="preserve">. </w:t>
      </w:r>
    </w:p>
    <w:p w14:paraId="4C3321EC" w14:textId="036EA09C" w:rsidR="006C326C" w:rsidRPr="003013DE" w:rsidRDefault="006C326C" w:rsidP="003013DE">
      <w:pPr>
        <w:pStyle w:val="Ttulo2"/>
        <w:rPr>
          <w:rFonts w:ascii="Times New Roman" w:hAnsi="Times New Roman" w:cs="Times New Roman"/>
          <w:b/>
          <w:bCs/>
          <w:color w:val="auto"/>
          <w:sz w:val="24"/>
          <w:szCs w:val="24"/>
        </w:rPr>
      </w:pPr>
      <w:bookmarkStart w:id="157" w:name="_Toc223177236"/>
      <w:r w:rsidRPr="003013DE">
        <w:rPr>
          <w:rFonts w:ascii="Times New Roman" w:hAnsi="Times New Roman" w:cs="Times New Roman"/>
          <w:b/>
          <w:bCs/>
          <w:color w:val="auto"/>
          <w:sz w:val="24"/>
          <w:szCs w:val="24"/>
        </w:rPr>
        <w:t xml:space="preserve">4.3.4 Analsiis y discusión </w:t>
      </w:r>
      <w:r w:rsidR="00C952A9" w:rsidRPr="003013DE">
        <w:rPr>
          <w:rFonts w:ascii="Times New Roman" w:hAnsi="Times New Roman" w:cs="Times New Roman"/>
          <w:b/>
          <w:bCs/>
          <w:color w:val="auto"/>
          <w:sz w:val="24"/>
          <w:szCs w:val="24"/>
        </w:rPr>
        <w:t>objetivo 3</w:t>
      </w:r>
      <w:bookmarkEnd w:id="157"/>
      <w:r w:rsidR="00C952A9" w:rsidRPr="003013DE">
        <w:rPr>
          <w:rFonts w:ascii="Times New Roman" w:hAnsi="Times New Roman" w:cs="Times New Roman"/>
          <w:b/>
          <w:bCs/>
          <w:color w:val="auto"/>
          <w:sz w:val="24"/>
          <w:szCs w:val="24"/>
        </w:rPr>
        <w:t xml:space="preserve"> </w:t>
      </w:r>
    </w:p>
    <w:p w14:paraId="2F15DC46" w14:textId="4EF932A8" w:rsidR="006C326C" w:rsidRPr="003013DE" w:rsidRDefault="006C326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El análisis crítico de las intervenciones terapéuticas dirigidas a modular la microbiota intestinal evidencia que el eje microbiota-intestino-cerebro constituye un campo de investigación dinámico, con avances significativos entre 2020 y 2025, pero aún con importantes vacíos metodológicos que limitan la traslación clínica sistemática. La literatura reciente confirma que la microbiota intestinal no solo participa en funciones metabólicas y digestivas, sino que ejerce un papel regulador en procesos inmunológicos, endocrinos y neurobiológicos, influyendo en la neuroinflamación, la permeabilidad de la barrera hematoencefálica y la producción de metabolitos con acción neuromoduladora como los ácidos grasos de cadena corta (SCFAs) y triptófano-derivados</w:t>
      </w:r>
      <w:r w:rsidR="00C952A9" w:rsidRPr="003013DE">
        <w:rPr>
          <w:rFonts w:ascii="Times New Roman" w:hAnsi="Times New Roman" w:cs="Times New Roman"/>
          <w:sz w:val="24"/>
          <w:szCs w:val="24"/>
        </w:rPr>
        <w:t>.</w:t>
      </w:r>
    </w:p>
    <w:p w14:paraId="69576B72" w14:textId="7796C7C4" w:rsidR="00C952A9" w:rsidRPr="003013DE" w:rsidRDefault="006C326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Uno de los hallazgos más consistentes en la literatura es que las intervenciones con probióticos y simbióticos pueden modular marcadores inflamatorios sistémicos y algunos desenlaces clínicos en trastornos como depresión mayor, deterioro cognitivo leve y enfermedad de Parkinson</w:t>
      </w:r>
      <w:r w:rsidR="00C952A9" w:rsidRPr="003013DE">
        <w:rPr>
          <w:rFonts w:ascii="Times New Roman" w:hAnsi="Times New Roman" w:cs="Times New Roman"/>
          <w:sz w:val="24"/>
          <w:szCs w:val="24"/>
        </w:rPr>
        <w:t xml:space="preserve">. </w:t>
      </w:r>
      <w:r w:rsidRPr="003013DE">
        <w:rPr>
          <w:rFonts w:ascii="Times New Roman" w:hAnsi="Times New Roman" w:cs="Times New Roman"/>
          <w:sz w:val="24"/>
          <w:szCs w:val="24"/>
        </w:rPr>
        <w:t xml:space="preserve"> Sin embargo, aunque múltiples ensayos clínicos aleatorizados han </w:t>
      </w:r>
      <w:r w:rsidRPr="003013DE">
        <w:rPr>
          <w:rFonts w:ascii="Times New Roman" w:hAnsi="Times New Roman" w:cs="Times New Roman"/>
          <w:sz w:val="24"/>
          <w:szCs w:val="24"/>
        </w:rPr>
        <w:lastRenderedPageBreak/>
        <w:t xml:space="preserve">mostrado mejorías en escalas de síntomas neuropsiquiátricos o en biomarcadores inflamatorios, los tamaños del efecto suelen ser modestos y la heterogeneidad metodológica es considerable. </w:t>
      </w:r>
    </w:p>
    <w:p w14:paraId="28A444A8" w14:textId="724E2649" w:rsidR="006C326C" w:rsidRPr="003013DE" w:rsidRDefault="006C326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Las diferencias en cepas bacterianas, dosis administradas, duración del tratamiento y características basales de los pacientes dificultan la comparación entre estudios y la formulación de recomendaciones estandarizadas. Además, pocos ensayos han incorporado análisis metagenómicos longitudinales que permitan correlacionar cambios clínicos con modificaciones específicas en la composición y función microbiana, lo cual limita la interpretación causal de los resultados</w:t>
      </w:r>
      <w:r w:rsidR="00C952A9" w:rsidRPr="003013DE">
        <w:rPr>
          <w:rFonts w:ascii="Times New Roman" w:hAnsi="Times New Roman" w:cs="Times New Roman"/>
          <w:sz w:val="24"/>
          <w:szCs w:val="24"/>
        </w:rPr>
        <w:t>.</w:t>
      </w:r>
    </w:p>
    <w:p w14:paraId="20CCF7E1" w14:textId="77777777" w:rsidR="00C952A9" w:rsidRPr="003013DE" w:rsidRDefault="006C326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En relación con el trasplante de microbiota fecal (FMT), los estudios preclínicos han mostrado efectos robustos sobre la modulación de conductas relacionadas con ansiedad, función motora y neuroinflamación en modelos animales de enfermedad de Parkinson y Alzheimer</w:t>
      </w:r>
      <w:r w:rsidR="00C952A9" w:rsidRPr="003013DE">
        <w:rPr>
          <w:rFonts w:ascii="Times New Roman" w:hAnsi="Times New Roman" w:cs="Times New Roman"/>
          <w:sz w:val="24"/>
          <w:szCs w:val="24"/>
        </w:rPr>
        <w:t>.</w:t>
      </w:r>
      <w:r w:rsidRPr="003013DE">
        <w:rPr>
          <w:rFonts w:ascii="Times New Roman" w:hAnsi="Times New Roman" w:cs="Times New Roman"/>
          <w:sz w:val="24"/>
          <w:szCs w:val="24"/>
        </w:rPr>
        <w:t xml:space="preserve"> No obstante, en humanos la evidencia continúa siendo preliminar. Aunque existen reportes de mejoría en síntomas gastrointestinales y algunos parámetros motores en pacientes con Parkinson, la mayoría de los estudios clínicos presentan tamaños muestrales reducidos y ausencia de grupos control adecuados. </w:t>
      </w:r>
    </w:p>
    <w:p w14:paraId="40EA9734" w14:textId="6020D67D" w:rsidR="006C326C" w:rsidRPr="003013DE" w:rsidRDefault="006C326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Asimismo, la seguridad a largo plazo del FMT en indicaciones neurológicas aún no está completamente establecida, particularmente en poblaciones vulnerables como adultos mayores o pacientes inmunocomprometidos. Estos aspectos resaltan la necesidad de ensayos clínicos multicéntricos, doble ciego y con seguimiento prolongado que evalúen no solo eficacia clínica, sino también estabilidad del injerto microbiano y eventos adversos</w:t>
      </w:r>
      <w:r w:rsidR="00D9453C" w:rsidRPr="003013DE">
        <w:rPr>
          <w:rFonts w:ascii="Times New Roman" w:hAnsi="Times New Roman" w:cs="Times New Roman"/>
          <w:sz w:val="24"/>
          <w:szCs w:val="24"/>
        </w:rPr>
        <w:t>.</w:t>
      </w:r>
    </w:p>
    <w:p w14:paraId="02B78C3F" w14:textId="77777777" w:rsidR="006C326C" w:rsidRPr="003013DE" w:rsidRDefault="006C326C" w:rsidP="00A86C3C">
      <w:pPr>
        <w:spacing w:line="360" w:lineRule="auto"/>
        <w:ind w:firstLine="708"/>
        <w:jc w:val="both"/>
        <w:rPr>
          <w:rFonts w:ascii="Times New Roman" w:hAnsi="Times New Roman" w:cs="Times New Roman"/>
          <w:sz w:val="24"/>
          <w:szCs w:val="24"/>
        </w:rPr>
      </w:pPr>
    </w:p>
    <w:p w14:paraId="568C0502" w14:textId="1BB9CF8A" w:rsidR="006C326C" w:rsidRPr="003013DE" w:rsidRDefault="006C326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La alimentación representa probablemente la intervención más sostenible y fisiológicamente integrada para modular la microbiota intestinal. La evidencia reciente respalda que patrones dietéticos ricos en fibra, polifenoles y alimentos fermentados promueven una mayor diversidad microbiana y un aumento en bacterias productoras de SCFAs, metabolitos con propiedades antiinflamatorias y neuroprotectoras</w:t>
      </w:r>
      <w:r w:rsidR="00A86C3C" w:rsidRPr="003013DE">
        <w:rPr>
          <w:rFonts w:ascii="Times New Roman" w:hAnsi="Times New Roman" w:cs="Times New Roman"/>
          <w:sz w:val="24"/>
          <w:szCs w:val="24"/>
        </w:rPr>
        <w:t xml:space="preserve">. </w:t>
      </w:r>
      <w:r w:rsidRPr="003013DE">
        <w:rPr>
          <w:rFonts w:ascii="Times New Roman" w:hAnsi="Times New Roman" w:cs="Times New Roman"/>
          <w:sz w:val="24"/>
          <w:szCs w:val="24"/>
        </w:rPr>
        <w:t xml:space="preserve">A diferencia de las intervenciones farmacológicas, la modificación dietética actúa de forma continua sobre </w:t>
      </w:r>
      <w:r w:rsidRPr="003013DE">
        <w:rPr>
          <w:rFonts w:ascii="Times New Roman" w:hAnsi="Times New Roman" w:cs="Times New Roman"/>
          <w:sz w:val="24"/>
          <w:szCs w:val="24"/>
        </w:rPr>
        <w:lastRenderedPageBreak/>
        <w:t xml:space="preserve">el ecosistema intestinal, favoreciendo un entorno metabólico estable que podría contribuir a la prevención primaria y secundaria de trastornos neurológicos. </w:t>
      </w:r>
    </w:p>
    <w:p w14:paraId="3EC355BF" w14:textId="71D8B942" w:rsidR="006C326C" w:rsidRPr="003013DE" w:rsidRDefault="00D9453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 xml:space="preserve">Por último, </w:t>
      </w:r>
      <w:r w:rsidR="006C326C" w:rsidRPr="003013DE">
        <w:rPr>
          <w:rFonts w:ascii="Times New Roman" w:hAnsi="Times New Roman" w:cs="Times New Roman"/>
          <w:sz w:val="24"/>
          <w:szCs w:val="24"/>
        </w:rPr>
        <w:t xml:space="preserve"> </w:t>
      </w:r>
      <w:r w:rsidR="00C765EA" w:rsidRPr="003013DE">
        <w:rPr>
          <w:rFonts w:ascii="Times New Roman" w:hAnsi="Times New Roman" w:cs="Times New Roman"/>
          <w:sz w:val="24"/>
          <w:szCs w:val="24"/>
        </w:rPr>
        <w:t>el uso</w:t>
      </w:r>
      <w:r w:rsidR="006C326C" w:rsidRPr="003013DE">
        <w:rPr>
          <w:rFonts w:ascii="Times New Roman" w:hAnsi="Times New Roman" w:cs="Times New Roman"/>
          <w:sz w:val="24"/>
          <w:szCs w:val="24"/>
        </w:rPr>
        <w:t>de antibióticos constituye un punto crítico dentro de esta discusión. Si bien su administración es indispensable en el tratamiento de infecciones bacterianas, múltiples estudios han demostrado que los antibióticos de amplio espectro inducen disbiosis significativa, disminuyen la diversidad microbiana y alteran rutas metabólicas relevantes para la homeostasis neuroinmunológic</w:t>
      </w:r>
      <w:r w:rsidR="00C765EA" w:rsidRPr="003013DE">
        <w:rPr>
          <w:rFonts w:ascii="Times New Roman" w:hAnsi="Times New Roman" w:cs="Times New Roman"/>
          <w:sz w:val="24"/>
          <w:szCs w:val="24"/>
        </w:rPr>
        <w:t>a.</w:t>
      </w:r>
    </w:p>
    <w:p w14:paraId="7577FBE5" w14:textId="66BD652A" w:rsidR="006A2997" w:rsidRPr="003013DE" w:rsidRDefault="006C326C" w:rsidP="00A86C3C">
      <w:pPr>
        <w:spacing w:line="360" w:lineRule="auto"/>
        <w:ind w:firstLine="708"/>
        <w:jc w:val="both"/>
        <w:rPr>
          <w:rFonts w:ascii="Times New Roman" w:hAnsi="Times New Roman" w:cs="Times New Roman"/>
          <w:sz w:val="24"/>
          <w:szCs w:val="24"/>
        </w:rPr>
      </w:pPr>
      <w:r w:rsidRPr="003013DE">
        <w:rPr>
          <w:rFonts w:ascii="Times New Roman" w:hAnsi="Times New Roman" w:cs="Times New Roman"/>
          <w:sz w:val="24"/>
          <w:szCs w:val="24"/>
        </w:rPr>
        <w:t>En conclusión, aunque las intervenciones dirigidas a modular la microbiota intestinal muestran un potencial terapéutico significativo en neurología, la evidencia clínica actual debe interpretarse con cautela. Se requieren ensayos clínicos robustos, estandarización metodológica y evaluación de desenlaces clínicos duros para consolidar su implementación en la práctica clínica basada en evidencia.</w:t>
      </w:r>
    </w:p>
    <w:p w14:paraId="643565B1" w14:textId="77777777" w:rsidR="000013F5" w:rsidRPr="003013DE" w:rsidRDefault="000013F5" w:rsidP="000013F5">
      <w:pPr>
        <w:spacing w:line="360" w:lineRule="auto"/>
        <w:jc w:val="center"/>
        <w:rPr>
          <w:rFonts w:ascii="Times New Roman" w:hAnsi="Times New Roman" w:cs="Times New Roman"/>
          <w:sz w:val="24"/>
          <w:szCs w:val="24"/>
        </w:rPr>
      </w:pPr>
    </w:p>
    <w:p w14:paraId="147037F3" w14:textId="77777777" w:rsidR="004E31C3" w:rsidRPr="003013DE" w:rsidRDefault="004E31C3" w:rsidP="000013F5">
      <w:pPr>
        <w:spacing w:line="360" w:lineRule="auto"/>
        <w:jc w:val="center"/>
        <w:rPr>
          <w:rFonts w:ascii="Times New Roman" w:hAnsi="Times New Roman" w:cs="Times New Roman"/>
          <w:sz w:val="24"/>
          <w:szCs w:val="24"/>
        </w:rPr>
      </w:pPr>
    </w:p>
    <w:p w14:paraId="353BE7D2" w14:textId="77777777" w:rsidR="004E31C3" w:rsidRPr="003013DE" w:rsidRDefault="004E31C3" w:rsidP="000013F5">
      <w:pPr>
        <w:spacing w:line="360" w:lineRule="auto"/>
        <w:jc w:val="center"/>
        <w:rPr>
          <w:rFonts w:ascii="Times New Roman" w:hAnsi="Times New Roman" w:cs="Times New Roman"/>
          <w:sz w:val="24"/>
          <w:szCs w:val="24"/>
        </w:rPr>
      </w:pPr>
    </w:p>
    <w:p w14:paraId="69645544" w14:textId="77777777" w:rsidR="004E31C3" w:rsidRPr="003013DE" w:rsidRDefault="004E31C3" w:rsidP="000013F5">
      <w:pPr>
        <w:spacing w:line="360" w:lineRule="auto"/>
        <w:jc w:val="center"/>
        <w:rPr>
          <w:rFonts w:ascii="Times New Roman" w:hAnsi="Times New Roman" w:cs="Times New Roman"/>
          <w:sz w:val="24"/>
          <w:szCs w:val="24"/>
        </w:rPr>
      </w:pPr>
    </w:p>
    <w:p w14:paraId="1FA5D594" w14:textId="77777777" w:rsidR="004E31C3" w:rsidRPr="003013DE" w:rsidRDefault="004E31C3" w:rsidP="000013F5">
      <w:pPr>
        <w:spacing w:line="360" w:lineRule="auto"/>
        <w:jc w:val="center"/>
        <w:rPr>
          <w:rFonts w:ascii="Times New Roman" w:hAnsi="Times New Roman" w:cs="Times New Roman"/>
          <w:sz w:val="24"/>
          <w:szCs w:val="24"/>
        </w:rPr>
      </w:pPr>
    </w:p>
    <w:p w14:paraId="593DB7EF" w14:textId="77777777" w:rsidR="004E31C3" w:rsidRPr="003013DE" w:rsidRDefault="004E31C3" w:rsidP="000013F5">
      <w:pPr>
        <w:spacing w:line="360" w:lineRule="auto"/>
        <w:jc w:val="center"/>
        <w:rPr>
          <w:rFonts w:ascii="Times New Roman" w:hAnsi="Times New Roman" w:cs="Times New Roman"/>
          <w:sz w:val="24"/>
          <w:szCs w:val="24"/>
        </w:rPr>
      </w:pPr>
    </w:p>
    <w:p w14:paraId="5EC54642" w14:textId="77777777" w:rsidR="004E31C3" w:rsidRPr="003013DE" w:rsidRDefault="004E31C3" w:rsidP="000013F5">
      <w:pPr>
        <w:spacing w:line="360" w:lineRule="auto"/>
        <w:jc w:val="center"/>
        <w:rPr>
          <w:rFonts w:ascii="Times New Roman" w:hAnsi="Times New Roman" w:cs="Times New Roman"/>
          <w:sz w:val="24"/>
          <w:szCs w:val="24"/>
        </w:rPr>
      </w:pPr>
    </w:p>
    <w:p w14:paraId="5E4512E3" w14:textId="77777777" w:rsidR="003406E6" w:rsidRPr="003013DE" w:rsidRDefault="003406E6" w:rsidP="000013F5">
      <w:pPr>
        <w:spacing w:line="360" w:lineRule="auto"/>
        <w:jc w:val="center"/>
        <w:rPr>
          <w:rFonts w:ascii="Times New Roman" w:hAnsi="Times New Roman" w:cs="Times New Roman"/>
          <w:sz w:val="24"/>
          <w:szCs w:val="24"/>
        </w:rPr>
        <w:sectPr w:rsidR="003406E6" w:rsidRPr="003013DE" w:rsidSect="003406E6">
          <w:pgSz w:w="12240" w:h="15840"/>
          <w:pgMar w:top="1417" w:right="1701" w:bottom="1417" w:left="1701" w:header="708" w:footer="708" w:gutter="0"/>
          <w:cols w:space="708"/>
          <w:titlePg/>
          <w:docGrid w:linePitch="360"/>
        </w:sectPr>
      </w:pPr>
    </w:p>
    <w:p w14:paraId="1AEEF883" w14:textId="6964E228" w:rsidR="004E31C3" w:rsidRPr="003013DE" w:rsidRDefault="004E31C3" w:rsidP="000013F5">
      <w:pPr>
        <w:spacing w:line="360" w:lineRule="auto"/>
        <w:jc w:val="center"/>
        <w:rPr>
          <w:rFonts w:ascii="Times New Roman" w:hAnsi="Times New Roman" w:cs="Times New Roman"/>
          <w:sz w:val="24"/>
          <w:szCs w:val="24"/>
        </w:rPr>
      </w:pPr>
    </w:p>
    <w:p w14:paraId="31296432" w14:textId="77777777" w:rsidR="004E31C3" w:rsidRPr="003013DE" w:rsidRDefault="004E31C3" w:rsidP="000013F5">
      <w:pPr>
        <w:spacing w:line="360" w:lineRule="auto"/>
        <w:jc w:val="center"/>
        <w:rPr>
          <w:rFonts w:ascii="Times New Roman" w:hAnsi="Times New Roman" w:cs="Times New Roman"/>
          <w:b/>
          <w:sz w:val="32"/>
          <w:szCs w:val="32"/>
        </w:rPr>
      </w:pPr>
    </w:p>
    <w:p w14:paraId="62DA49B7" w14:textId="77777777" w:rsidR="000013F5" w:rsidRPr="003013DE" w:rsidRDefault="000013F5" w:rsidP="000013F5">
      <w:pPr>
        <w:spacing w:line="360" w:lineRule="auto"/>
        <w:jc w:val="center"/>
        <w:rPr>
          <w:rFonts w:ascii="Times New Roman" w:hAnsi="Times New Roman" w:cs="Times New Roman"/>
          <w:b/>
          <w:sz w:val="32"/>
          <w:szCs w:val="32"/>
        </w:rPr>
      </w:pPr>
    </w:p>
    <w:p w14:paraId="706F8D8F" w14:textId="77777777" w:rsidR="00762145" w:rsidRPr="003013DE" w:rsidRDefault="00762145" w:rsidP="000013F5">
      <w:pPr>
        <w:spacing w:line="360" w:lineRule="auto"/>
        <w:jc w:val="center"/>
        <w:rPr>
          <w:rFonts w:ascii="Times New Roman" w:hAnsi="Times New Roman" w:cs="Times New Roman"/>
          <w:b/>
          <w:sz w:val="32"/>
          <w:szCs w:val="32"/>
        </w:rPr>
      </w:pPr>
    </w:p>
    <w:p w14:paraId="6486C3BB" w14:textId="77777777" w:rsidR="00762145" w:rsidRPr="003013DE" w:rsidRDefault="00762145" w:rsidP="000013F5">
      <w:pPr>
        <w:spacing w:line="360" w:lineRule="auto"/>
        <w:jc w:val="center"/>
        <w:rPr>
          <w:rFonts w:ascii="Times New Roman" w:hAnsi="Times New Roman" w:cs="Times New Roman"/>
          <w:b/>
          <w:sz w:val="32"/>
          <w:szCs w:val="32"/>
        </w:rPr>
      </w:pPr>
    </w:p>
    <w:p w14:paraId="73370EDA" w14:textId="77777777" w:rsidR="00762145" w:rsidRPr="003013DE" w:rsidRDefault="00762145" w:rsidP="000013F5">
      <w:pPr>
        <w:spacing w:line="360" w:lineRule="auto"/>
        <w:jc w:val="center"/>
        <w:rPr>
          <w:rFonts w:ascii="Times New Roman" w:hAnsi="Times New Roman" w:cs="Times New Roman"/>
          <w:b/>
          <w:sz w:val="32"/>
          <w:szCs w:val="32"/>
        </w:rPr>
      </w:pPr>
    </w:p>
    <w:p w14:paraId="4D8E8FDB" w14:textId="77777777" w:rsidR="00762145" w:rsidRPr="003013DE" w:rsidRDefault="00762145" w:rsidP="000013F5">
      <w:pPr>
        <w:spacing w:line="360" w:lineRule="auto"/>
        <w:jc w:val="center"/>
        <w:rPr>
          <w:rFonts w:ascii="Times New Roman" w:hAnsi="Times New Roman" w:cs="Times New Roman"/>
          <w:b/>
          <w:sz w:val="32"/>
          <w:szCs w:val="32"/>
        </w:rPr>
      </w:pPr>
    </w:p>
    <w:p w14:paraId="1873D6C5" w14:textId="77777777" w:rsidR="00762145" w:rsidRPr="003013DE" w:rsidRDefault="00762145" w:rsidP="000013F5">
      <w:pPr>
        <w:spacing w:line="360" w:lineRule="auto"/>
        <w:jc w:val="center"/>
        <w:rPr>
          <w:rFonts w:ascii="Times New Roman" w:hAnsi="Times New Roman" w:cs="Times New Roman"/>
          <w:b/>
          <w:sz w:val="32"/>
          <w:szCs w:val="32"/>
        </w:rPr>
      </w:pPr>
    </w:p>
    <w:p w14:paraId="3DCA28EE" w14:textId="4792E76D" w:rsidR="000013F5" w:rsidRPr="003013DE" w:rsidRDefault="000013F5" w:rsidP="003013DE">
      <w:pPr>
        <w:pStyle w:val="Ttulo1"/>
        <w:rPr>
          <w:rFonts w:cs="Times New Roman"/>
          <w:b w:val="0"/>
          <w:color w:val="auto"/>
          <w:spacing w:val="-2"/>
          <w:sz w:val="32"/>
        </w:rPr>
      </w:pPr>
      <w:bookmarkStart w:id="158" w:name="_Toc223177237"/>
      <w:r w:rsidRPr="003013DE">
        <w:rPr>
          <w:rFonts w:cs="Times New Roman"/>
          <w:color w:val="auto"/>
          <w:sz w:val="32"/>
        </w:rPr>
        <w:t>CAPÍTULO</w:t>
      </w:r>
      <w:r w:rsidRPr="003013DE">
        <w:rPr>
          <w:rFonts w:cs="Times New Roman"/>
          <w:color w:val="auto"/>
          <w:spacing w:val="-1"/>
          <w:sz w:val="32"/>
        </w:rPr>
        <w:t xml:space="preserve"> </w:t>
      </w:r>
      <w:r w:rsidRPr="003013DE">
        <w:rPr>
          <w:rFonts w:cs="Times New Roman"/>
          <w:color w:val="auto"/>
          <w:sz w:val="32"/>
        </w:rPr>
        <w:t>V-</w:t>
      </w:r>
      <w:r w:rsidRPr="003013DE">
        <w:rPr>
          <w:rFonts w:cs="Times New Roman"/>
          <w:color w:val="auto"/>
          <w:spacing w:val="-1"/>
          <w:sz w:val="32"/>
        </w:rPr>
        <w:t xml:space="preserve"> </w:t>
      </w:r>
      <w:r w:rsidRPr="003013DE">
        <w:rPr>
          <w:rFonts w:cs="Times New Roman"/>
          <w:color w:val="auto"/>
          <w:spacing w:val="-2"/>
          <w:sz w:val="32"/>
        </w:rPr>
        <w:t>CONCLUSIONES Y RECOMENDACIONES</w:t>
      </w:r>
      <w:bookmarkEnd w:id="158"/>
    </w:p>
    <w:p w14:paraId="69C52C44" w14:textId="4C402D94" w:rsidR="000013F5" w:rsidRPr="003013DE" w:rsidRDefault="000013F5">
      <w:pPr>
        <w:rPr>
          <w:rFonts w:ascii="Times New Roman" w:hAnsi="Times New Roman" w:cs="Times New Roman"/>
          <w:b/>
          <w:spacing w:val="-2"/>
          <w:sz w:val="32"/>
          <w:szCs w:val="32"/>
        </w:rPr>
      </w:pPr>
      <w:r w:rsidRPr="003013DE">
        <w:rPr>
          <w:rFonts w:ascii="Times New Roman" w:hAnsi="Times New Roman" w:cs="Times New Roman"/>
          <w:b/>
          <w:spacing w:val="-2"/>
          <w:sz w:val="32"/>
          <w:szCs w:val="32"/>
        </w:rPr>
        <w:br w:type="page"/>
      </w:r>
    </w:p>
    <w:p w14:paraId="53B53AAD" w14:textId="77777777" w:rsidR="00CC739F" w:rsidRPr="003013DE" w:rsidRDefault="00CC739F">
      <w:pPr>
        <w:rPr>
          <w:rFonts w:ascii="Times New Roman" w:hAnsi="Times New Roman" w:cs="Times New Roman"/>
          <w:b/>
          <w:spacing w:val="-2"/>
          <w:sz w:val="32"/>
          <w:szCs w:val="32"/>
        </w:rPr>
      </w:pPr>
    </w:p>
    <w:p w14:paraId="072FA46D" w14:textId="04ADD112" w:rsidR="00CC739F" w:rsidRPr="003013DE" w:rsidRDefault="00CC739F" w:rsidP="003013DE">
      <w:pPr>
        <w:pStyle w:val="Ttulo1"/>
        <w:rPr>
          <w:rFonts w:cs="Times New Roman"/>
          <w:b w:val="0"/>
          <w:color w:val="auto"/>
          <w:spacing w:val="-2"/>
          <w:szCs w:val="24"/>
        </w:rPr>
      </w:pPr>
      <w:bookmarkStart w:id="159" w:name="_Toc223177238"/>
      <w:r w:rsidRPr="003013DE">
        <w:rPr>
          <w:rFonts w:cs="Times New Roman"/>
          <w:color w:val="auto"/>
          <w:spacing w:val="-2"/>
          <w:szCs w:val="24"/>
        </w:rPr>
        <w:t>5.1 Conclusiones</w:t>
      </w:r>
      <w:bookmarkEnd w:id="159"/>
      <w:r w:rsidRPr="003013DE">
        <w:rPr>
          <w:rFonts w:cs="Times New Roman"/>
          <w:color w:val="auto"/>
          <w:spacing w:val="-2"/>
          <w:szCs w:val="24"/>
        </w:rPr>
        <w:t xml:space="preserve"> </w:t>
      </w:r>
    </w:p>
    <w:p w14:paraId="1510846D" w14:textId="77777777" w:rsidR="00445E40" w:rsidRPr="00F16D6C" w:rsidRDefault="00445E40" w:rsidP="00CC739F">
      <w:pPr>
        <w:numPr>
          <w:ilvl w:val="0"/>
          <w:numId w:val="49"/>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La microbiota intestinal constituye un modulador activo de la función neurológica</w:t>
      </w:r>
      <w:r w:rsidRPr="00F16D6C">
        <w:rPr>
          <w:rStyle w:val="s1"/>
          <w:rFonts w:ascii="Times New Roman" w:hAnsi="Times New Roman" w:cs="Times New Roman"/>
          <w:sz w:val="24"/>
          <w:szCs w:val="24"/>
        </w:rPr>
        <w:t>, no un elemento pasivo del sistema digestivo. El documento demuestra que su influencia se ejerce a través de mecanismos inmunológicos, metabólicos, endocrinos y neuroquímicos, configurando un eje bidireccional intestino–cerebro con relevancia clínica directa</w:t>
      </w:r>
      <w:r w:rsidRPr="00F16D6C">
        <w:rPr>
          <w:rStyle w:val="PiedepginaCar"/>
          <w:rFonts w:ascii="Times New Roman" w:hAnsi="Times New Roman" w:cs="Times New Roman"/>
          <w:sz w:val="24"/>
          <w:szCs w:val="24"/>
        </w:rPr>
        <w:t xml:space="preserve">  </w:t>
      </w:r>
      <w:r w:rsidRPr="00F16D6C">
        <w:rPr>
          <w:rStyle w:val="s1"/>
          <w:rFonts w:ascii="Times New Roman" w:hAnsi="Times New Roman" w:cs="Times New Roman"/>
          <w:sz w:val="24"/>
          <w:szCs w:val="24"/>
        </w:rPr>
        <w:t>.</w:t>
      </w:r>
    </w:p>
    <w:p w14:paraId="35B4FCED" w14:textId="77777777" w:rsidR="00445E40" w:rsidRPr="00F16D6C" w:rsidRDefault="00445E40" w:rsidP="00CC739F">
      <w:pPr>
        <w:numPr>
          <w:ilvl w:val="0"/>
          <w:numId w:val="49"/>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La disbiosis intestinal se asocia de forma consistente con múltiples trastornos neurológicos</w:t>
      </w:r>
      <w:r w:rsidRPr="00F16D6C">
        <w:rPr>
          <w:rStyle w:val="s1"/>
          <w:rFonts w:ascii="Times New Roman" w:hAnsi="Times New Roman" w:cs="Times New Roman"/>
          <w:sz w:val="24"/>
          <w:szCs w:val="24"/>
        </w:rPr>
        <w:t>, incluyendo enfermedades neurodegenerativas, trastornos del neurodesarrollo y alteraciones psiquiátricas. Aunque no siempre puede establecerse causalidad directa, la evidencia sugiere una contribución fisiopatológica significativa</w:t>
      </w:r>
      <w:r w:rsidRPr="00F16D6C">
        <w:rPr>
          <w:rStyle w:val="PiedepginaCar"/>
          <w:rFonts w:ascii="Times New Roman" w:hAnsi="Times New Roman" w:cs="Times New Roman"/>
          <w:sz w:val="24"/>
          <w:szCs w:val="24"/>
        </w:rPr>
        <w:t xml:space="preserve">  </w:t>
      </w:r>
      <w:r w:rsidRPr="00F16D6C">
        <w:rPr>
          <w:rStyle w:val="s1"/>
          <w:rFonts w:ascii="Times New Roman" w:hAnsi="Times New Roman" w:cs="Times New Roman"/>
          <w:sz w:val="24"/>
          <w:szCs w:val="24"/>
        </w:rPr>
        <w:t>.</w:t>
      </w:r>
    </w:p>
    <w:p w14:paraId="7B57D3D4" w14:textId="77777777" w:rsidR="00445E40" w:rsidRPr="00F16D6C" w:rsidRDefault="00445E40" w:rsidP="00CC739F">
      <w:pPr>
        <w:numPr>
          <w:ilvl w:val="0"/>
          <w:numId w:val="49"/>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Los mecanismos implicados son multifactoriales y convergentes</w:t>
      </w:r>
      <w:r w:rsidRPr="00F16D6C">
        <w:rPr>
          <w:rStyle w:val="s1"/>
          <w:rFonts w:ascii="Times New Roman" w:hAnsi="Times New Roman" w:cs="Times New Roman"/>
          <w:sz w:val="24"/>
          <w:szCs w:val="24"/>
        </w:rPr>
        <w:t>, destacando la alteración de la permeabilidad intestinal, la activación inmune sistémica, la neuroinflamación, la producción alterada de metabolitos (como ácidos grasos de cadena corta) y la modulación de neurotransmisores</w:t>
      </w:r>
      <w:r w:rsidRPr="00F16D6C">
        <w:rPr>
          <w:rStyle w:val="PiedepginaCar"/>
          <w:rFonts w:ascii="Times New Roman" w:hAnsi="Times New Roman" w:cs="Times New Roman"/>
          <w:sz w:val="24"/>
          <w:szCs w:val="24"/>
        </w:rPr>
        <w:t xml:space="preserve">  </w:t>
      </w:r>
      <w:r w:rsidRPr="00F16D6C">
        <w:rPr>
          <w:rStyle w:val="s1"/>
          <w:rFonts w:ascii="Times New Roman" w:hAnsi="Times New Roman" w:cs="Times New Roman"/>
          <w:sz w:val="24"/>
          <w:szCs w:val="24"/>
        </w:rPr>
        <w:t>.</w:t>
      </w:r>
    </w:p>
    <w:p w14:paraId="73667402" w14:textId="77777777" w:rsidR="00445E40" w:rsidRPr="00F16D6C" w:rsidRDefault="00445E40" w:rsidP="00CC739F">
      <w:pPr>
        <w:numPr>
          <w:ilvl w:val="0"/>
          <w:numId w:val="49"/>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Las intervenciones dirigidas a modular la microbiota muestran resultados prometedores pero heterogéneos.</w:t>
      </w:r>
      <w:r w:rsidRPr="00F16D6C">
        <w:rPr>
          <w:rStyle w:val="s1"/>
          <w:rFonts w:ascii="Times New Roman" w:hAnsi="Times New Roman" w:cs="Times New Roman"/>
          <w:sz w:val="24"/>
          <w:szCs w:val="24"/>
        </w:rPr>
        <w:t xml:space="preserve"> Probióticos, prebióticos, simbióticos, trasplante de microbiota fecal, modificaciones dietéticas y uso controlado de antibióticos presentan beneficios potenciales, aunque con variabilidad en magnitud del efecto y calidad metodológica</w:t>
      </w:r>
      <w:r w:rsidRPr="00F16D6C">
        <w:rPr>
          <w:rStyle w:val="PiedepginaCar"/>
          <w:rFonts w:ascii="Times New Roman" w:hAnsi="Times New Roman" w:cs="Times New Roman"/>
          <w:sz w:val="24"/>
          <w:szCs w:val="24"/>
        </w:rPr>
        <w:t xml:space="preserve">  </w:t>
      </w:r>
      <w:r w:rsidRPr="00F16D6C">
        <w:rPr>
          <w:rStyle w:val="s1"/>
          <w:rFonts w:ascii="Times New Roman" w:hAnsi="Times New Roman" w:cs="Times New Roman"/>
          <w:sz w:val="24"/>
          <w:szCs w:val="24"/>
        </w:rPr>
        <w:t>.</w:t>
      </w:r>
    </w:p>
    <w:p w14:paraId="3C7D64A4" w14:textId="77777777" w:rsidR="00445E40" w:rsidRPr="00F16D6C" w:rsidRDefault="00445E40" w:rsidP="00CC739F">
      <w:pPr>
        <w:numPr>
          <w:ilvl w:val="0"/>
          <w:numId w:val="49"/>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El impacto terapéutico parece depender de la patología específica y del perfil individual del huésped.</w:t>
      </w:r>
      <w:r w:rsidRPr="00F16D6C">
        <w:rPr>
          <w:rStyle w:val="s1"/>
          <w:rFonts w:ascii="Times New Roman" w:hAnsi="Times New Roman" w:cs="Times New Roman"/>
          <w:sz w:val="24"/>
          <w:szCs w:val="24"/>
        </w:rPr>
        <w:t xml:space="preserve"> No existe una intervención universalmente efectiva, lo que sugiere la necesidad de estrategias personalizadas basadas en características clínicas y microbiológicas</w:t>
      </w:r>
      <w:r w:rsidRPr="00F16D6C">
        <w:rPr>
          <w:rStyle w:val="PiedepginaCar"/>
          <w:rFonts w:ascii="Times New Roman" w:hAnsi="Times New Roman" w:cs="Times New Roman"/>
          <w:sz w:val="24"/>
          <w:szCs w:val="24"/>
        </w:rPr>
        <w:t xml:space="preserve">  </w:t>
      </w:r>
      <w:r w:rsidRPr="00F16D6C">
        <w:rPr>
          <w:rStyle w:val="s1"/>
          <w:rFonts w:ascii="Times New Roman" w:hAnsi="Times New Roman" w:cs="Times New Roman"/>
          <w:sz w:val="24"/>
          <w:szCs w:val="24"/>
        </w:rPr>
        <w:t>.</w:t>
      </w:r>
    </w:p>
    <w:p w14:paraId="318AC16B" w14:textId="77777777" w:rsidR="00445E40" w:rsidRPr="00F16D6C" w:rsidRDefault="00445E40" w:rsidP="00CC739F">
      <w:pPr>
        <w:numPr>
          <w:ilvl w:val="0"/>
          <w:numId w:val="49"/>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La evidencia actual aún presenta limitaciones metodológicas importantes</w:t>
      </w:r>
      <w:r w:rsidRPr="00F16D6C">
        <w:rPr>
          <w:rStyle w:val="s1"/>
          <w:rFonts w:ascii="Times New Roman" w:hAnsi="Times New Roman" w:cs="Times New Roman"/>
          <w:sz w:val="24"/>
          <w:szCs w:val="24"/>
        </w:rPr>
        <w:t>, incluyendo tamaños muestrales reducidos, heterogeneidad en cepas probióticas utilizadas, diferencias en duración de intervenciones y escasa estandarización de biomarcadores microbiológicos</w:t>
      </w:r>
      <w:r w:rsidRPr="00F16D6C">
        <w:rPr>
          <w:rStyle w:val="PiedepginaCar"/>
          <w:rFonts w:ascii="Times New Roman" w:hAnsi="Times New Roman" w:cs="Times New Roman"/>
          <w:sz w:val="24"/>
          <w:szCs w:val="24"/>
        </w:rPr>
        <w:t xml:space="preserve">  </w:t>
      </w:r>
      <w:r w:rsidRPr="00F16D6C">
        <w:rPr>
          <w:rStyle w:val="s1"/>
          <w:rFonts w:ascii="Times New Roman" w:hAnsi="Times New Roman" w:cs="Times New Roman"/>
          <w:sz w:val="24"/>
          <w:szCs w:val="24"/>
        </w:rPr>
        <w:t>.</w:t>
      </w:r>
    </w:p>
    <w:p w14:paraId="332AF78B" w14:textId="4DD5E876" w:rsidR="00445E40" w:rsidRPr="00F16D6C" w:rsidRDefault="00445E40" w:rsidP="00CC739F">
      <w:pPr>
        <w:numPr>
          <w:ilvl w:val="0"/>
          <w:numId w:val="49"/>
        </w:numPr>
        <w:spacing w:line="360" w:lineRule="auto"/>
        <w:jc w:val="both"/>
        <w:rPr>
          <w:rStyle w:val="PiedepginaCar"/>
          <w:rFonts w:ascii="Times New Roman" w:hAnsi="Times New Roman" w:cs="Times New Roman"/>
          <w:sz w:val="24"/>
          <w:szCs w:val="24"/>
        </w:rPr>
      </w:pPr>
      <w:r w:rsidRPr="00F16D6C">
        <w:rPr>
          <w:rFonts w:ascii="Times New Roman" w:hAnsi="Times New Roman" w:cs="Times New Roman"/>
          <w:sz w:val="24"/>
          <w:szCs w:val="24"/>
        </w:rPr>
        <w:lastRenderedPageBreak/>
        <w:t>La modulación de la microbiota representa una línea terapéutica complementaria más que sustitutiva.</w:t>
      </w:r>
      <w:r w:rsidRPr="00F16D6C">
        <w:rPr>
          <w:rStyle w:val="s1"/>
          <w:rFonts w:ascii="Times New Roman" w:hAnsi="Times New Roman" w:cs="Times New Roman"/>
          <w:sz w:val="24"/>
          <w:szCs w:val="24"/>
        </w:rPr>
        <w:t xml:space="preserve"> Los datos expuestos indican que estas intervenciones deben considerarse adyuvantes dentro de un abordaje integral, no como reemplazo de tratamientos neurológicos establecidos</w:t>
      </w:r>
      <w:r w:rsidRPr="00F16D6C">
        <w:rPr>
          <w:rStyle w:val="PiedepginaCar"/>
          <w:rFonts w:ascii="Times New Roman" w:hAnsi="Times New Roman" w:cs="Times New Roman"/>
          <w:sz w:val="24"/>
          <w:szCs w:val="24"/>
        </w:rPr>
        <w:t> </w:t>
      </w:r>
    </w:p>
    <w:p w14:paraId="2243E0D1" w14:textId="77777777" w:rsidR="003013DE" w:rsidRPr="003013DE" w:rsidRDefault="003013DE" w:rsidP="003013DE">
      <w:pPr>
        <w:spacing w:line="360" w:lineRule="auto"/>
        <w:ind w:left="720"/>
        <w:jc w:val="both"/>
        <w:rPr>
          <w:rStyle w:val="PiedepginaCar"/>
        </w:rPr>
      </w:pPr>
    </w:p>
    <w:p w14:paraId="269E1CFD" w14:textId="710AF06E" w:rsidR="00CC739F" w:rsidRPr="003013DE" w:rsidRDefault="00CC739F" w:rsidP="003013DE">
      <w:pPr>
        <w:spacing w:line="360" w:lineRule="auto"/>
        <w:jc w:val="both"/>
        <w:outlineLvl w:val="0"/>
        <w:rPr>
          <w:rStyle w:val="PiedepginaCar"/>
          <w:b/>
          <w:bCs/>
        </w:rPr>
      </w:pPr>
      <w:bookmarkStart w:id="160" w:name="_Toc223177239"/>
      <w:r w:rsidRPr="003013DE">
        <w:rPr>
          <w:rStyle w:val="PiedepginaCar"/>
          <w:b/>
          <w:bCs/>
        </w:rPr>
        <w:t>5.3 Recomendaciones</w:t>
      </w:r>
      <w:bookmarkEnd w:id="160"/>
      <w:r w:rsidRPr="003013DE">
        <w:rPr>
          <w:rStyle w:val="PiedepginaCar"/>
          <w:b/>
          <w:bCs/>
        </w:rPr>
        <w:t xml:space="preserve"> </w:t>
      </w:r>
    </w:p>
    <w:p w14:paraId="3BA5ACAF" w14:textId="40C88468" w:rsidR="00A34F55" w:rsidRPr="00F16D6C" w:rsidRDefault="00A34F55" w:rsidP="006423D0">
      <w:pPr>
        <w:numPr>
          <w:ilvl w:val="0"/>
          <w:numId w:val="50"/>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Promover estudios clínicos aleatorizados con mayor rigor metodológico</w:t>
      </w:r>
      <w:r w:rsidRPr="00F16D6C">
        <w:rPr>
          <w:rStyle w:val="s1"/>
          <w:rFonts w:ascii="Times New Roman" w:hAnsi="Times New Roman" w:cs="Times New Roman"/>
          <w:sz w:val="24"/>
          <w:szCs w:val="24"/>
        </w:rPr>
        <w:t xml:space="preserve">, incluyendo tamaños muestrales adecuados, seguimiento prolongado y estandarización en la caracterización del microbioma, para fortalecer la evidencia </w:t>
      </w:r>
      <w:r w:rsidR="006423D0" w:rsidRPr="00F16D6C">
        <w:rPr>
          <w:rStyle w:val="s1"/>
          <w:rFonts w:ascii="Times New Roman" w:hAnsi="Times New Roman" w:cs="Times New Roman"/>
          <w:sz w:val="24"/>
          <w:szCs w:val="24"/>
        </w:rPr>
        <w:t>causal</w:t>
      </w:r>
      <w:r w:rsidR="006423D0" w:rsidRPr="00F16D6C">
        <w:rPr>
          <w:rStyle w:val="PiedepginaCar"/>
          <w:rFonts w:ascii="Times New Roman" w:hAnsi="Times New Roman" w:cs="Times New Roman"/>
          <w:sz w:val="24"/>
          <w:szCs w:val="24"/>
        </w:rPr>
        <w:t xml:space="preserve"> .</w:t>
      </w:r>
    </w:p>
    <w:p w14:paraId="5DDE8778" w14:textId="512CDF9D" w:rsidR="00A34F55" w:rsidRPr="00F16D6C" w:rsidRDefault="00A34F55" w:rsidP="006423D0">
      <w:pPr>
        <w:numPr>
          <w:ilvl w:val="0"/>
          <w:numId w:val="50"/>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Desarrollar protocolos terapéuticos personalizados</w:t>
      </w:r>
      <w:r w:rsidRPr="00F16D6C">
        <w:rPr>
          <w:rStyle w:val="s1"/>
          <w:rFonts w:ascii="Times New Roman" w:hAnsi="Times New Roman" w:cs="Times New Roman"/>
          <w:sz w:val="24"/>
          <w:szCs w:val="24"/>
        </w:rPr>
        <w:t xml:space="preserve">, integrando análisis metagenómicos y perfiles metabólicos individuales antes de indicar intervenciones como probióticos o trasplante </w:t>
      </w:r>
      <w:r w:rsidR="006423D0" w:rsidRPr="00F16D6C">
        <w:rPr>
          <w:rStyle w:val="s1"/>
          <w:rFonts w:ascii="Times New Roman" w:hAnsi="Times New Roman" w:cs="Times New Roman"/>
          <w:sz w:val="24"/>
          <w:szCs w:val="24"/>
        </w:rPr>
        <w:t>fecal</w:t>
      </w:r>
      <w:r w:rsidR="006423D0" w:rsidRPr="00F16D6C">
        <w:rPr>
          <w:rStyle w:val="PiedepginaCar"/>
          <w:rFonts w:ascii="Times New Roman" w:hAnsi="Times New Roman" w:cs="Times New Roman"/>
          <w:sz w:val="24"/>
          <w:szCs w:val="24"/>
        </w:rPr>
        <w:t xml:space="preserve"> .</w:t>
      </w:r>
    </w:p>
    <w:p w14:paraId="3CFFF4E4" w14:textId="712F4E08" w:rsidR="00A34F55" w:rsidRPr="00F16D6C" w:rsidRDefault="00A34F55" w:rsidP="006423D0">
      <w:pPr>
        <w:numPr>
          <w:ilvl w:val="0"/>
          <w:numId w:val="50"/>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Incorporar estrategias dietéticas estructuradas como parte del manejo neurológico integral</w:t>
      </w:r>
      <w:r w:rsidRPr="00F16D6C">
        <w:rPr>
          <w:rStyle w:val="s1"/>
          <w:rFonts w:ascii="Times New Roman" w:hAnsi="Times New Roman" w:cs="Times New Roman"/>
          <w:sz w:val="24"/>
          <w:szCs w:val="24"/>
        </w:rPr>
        <w:t xml:space="preserve">, dada la influencia demostrada de la alimentación en la composición y funcionalidad de la </w:t>
      </w:r>
      <w:r w:rsidR="006423D0" w:rsidRPr="00F16D6C">
        <w:rPr>
          <w:rStyle w:val="s1"/>
          <w:rFonts w:ascii="Times New Roman" w:hAnsi="Times New Roman" w:cs="Times New Roman"/>
          <w:sz w:val="24"/>
          <w:szCs w:val="24"/>
        </w:rPr>
        <w:t>microbiota</w:t>
      </w:r>
      <w:r w:rsidR="006423D0" w:rsidRPr="00F16D6C">
        <w:rPr>
          <w:rStyle w:val="PiedepginaCar"/>
          <w:rFonts w:ascii="Times New Roman" w:hAnsi="Times New Roman" w:cs="Times New Roman"/>
          <w:sz w:val="24"/>
          <w:szCs w:val="24"/>
        </w:rPr>
        <w:t>.</w:t>
      </w:r>
    </w:p>
    <w:p w14:paraId="426290B1" w14:textId="6615BA9A" w:rsidR="00A34F55" w:rsidRPr="00F16D6C" w:rsidRDefault="00A34F55" w:rsidP="006423D0">
      <w:pPr>
        <w:numPr>
          <w:ilvl w:val="0"/>
          <w:numId w:val="50"/>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Establecer criterios claros para el uso racional de antibióticos</w:t>
      </w:r>
      <w:r w:rsidRPr="00F16D6C">
        <w:rPr>
          <w:rStyle w:val="s1"/>
          <w:rFonts w:ascii="Times New Roman" w:hAnsi="Times New Roman" w:cs="Times New Roman"/>
          <w:sz w:val="24"/>
          <w:szCs w:val="24"/>
        </w:rPr>
        <w:t>, evitando su empleo indiscriminado en pacientes con riesgo neurológico, debido a su potencial efecto disruptivo sobre la microbiota intestinal</w:t>
      </w:r>
      <w:r w:rsidR="006423D0" w:rsidRPr="00F16D6C">
        <w:rPr>
          <w:rStyle w:val="PiedepginaCar"/>
          <w:rFonts w:ascii="Times New Roman" w:hAnsi="Times New Roman" w:cs="Times New Roman"/>
          <w:sz w:val="24"/>
          <w:szCs w:val="24"/>
        </w:rPr>
        <w:t>.</w:t>
      </w:r>
    </w:p>
    <w:p w14:paraId="5A55A32D" w14:textId="1D0FC030" w:rsidR="00A34F55" w:rsidRPr="00F16D6C" w:rsidRDefault="00A34F55" w:rsidP="006423D0">
      <w:pPr>
        <w:numPr>
          <w:ilvl w:val="0"/>
          <w:numId w:val="50"/>
        </w:numPr>
        <w:spacing w:line="360" w:lineRule="auto"/>
        <w:jc w:val="both"/>
        <w:rPr>
          <w:rFonts w:ascii="Times New Roman" w:hAnsi="Times New Roman" w:cs="Times New Roman"/>
          <w:sz w:val="24"/>
          <w:szCs w:val="24"/>
        </w:rPr>
      </w:pPr>
      <w:r w:rsidRPr="00F16D6C">
        <w:rPr>
          <w:rFonts w:ascii="Times New Roman" w:hAnsi="Times New Roman" w:cs="Times New Roman"/>
          <w:sz w:val="24"/>
          <w:szCs w:val="24"/>
        </w:rPr>
        <w:t>Estandarizar la selección de cepas probióticas según evidencia específica por patología</w:t>
      </w:r>
      <w:r w:rsidRPr="00F16D6C">
        <w:rPr>
          <w:rStyle w:val="s1"/>
          <w:rFonts w:ascii="Times New Roman" w:hAnsi="Times New Roman" w:cs="Times New Roman"/>
          <w:sz w:val="24"/>
          <w:szCs w:val="24"/>
        </w:rPr>
        <w:t>, evitando generalizaciones terapéuticas sin sustento clínico sólido</w:t>
      </w:r>
      <w:r w:rsidR="006423D0" w:rsidRPr="00F16D6C">
        <w:rPr>
          <w:rStyle w:val="PiedepginaCar"/>
          <w:rFonts w:ascii="Times New Roman" w:hAnsi="Times New Roman" w:cs="Times New Roman"/>
          <w:sz w:val="24"/>
          <w:szCs w:val="24"/>
        </w:rPr>
        <w:t>.</w:t>
      </w:r>
    </w:p>
    <w:p w14:paraId="64278102" w14:textId="77777777" w:rsidR="003406E6" w:rsidRPr="00F16D6C" w:rsidRDefault="00A34F55" w:rsidP="00A34F55">
      <w:pPr>
        <w:numPr>
          <w:ilvl w:val="0"/>
          <w:numId w:val="50"/>
        </w:numPr>
        <w:spacing w:line="360" w:lineRule="auto"/>
        <w:jc w:val="both"/>
        <w:rPr>
          <w:rStyle w:val="PiedepginaCar"/>
          <w:rFonts w:ascii="Times New Roman" w:hAnsi="Times New Roman" w:cs="Times New Roman"/>
          <w:sz w:val="24"/>
          <w:szCs w:val="24"/>
        </w:rPr>
        <w:sectPr w:rsidR="003406E6" w:rsidRPr="00F16D6C" w:rsidSect="003406E6">
          <w:pgSz w:w="12240" w:h="15840"/>
          <w:pgMar w:top="1417" w:right="1701" w:bottom="1417" w:left="1701" w:header="708" w:footer="708" w:gutter="0"/>
          <w:cols w:space="708"/>
          <w:titlePg/>
          <w:docGrid w:linePitch="360"/>
        </w:sectPr>
      </w:pPr>
      <w:r w:rsidRPr="00F16D6C">
        <w:rPr>
          <w:rFonts w:ascii="Times New Roman" w:hAnsi="Times New Roman" w:cs="Times New Roman"/>
          <w:sz w:val="24"/>
          <w:szCs w:val="24"/>
        </w:rPr>
        <w:t>Fomentar investigaciones traslacionales que conecten hallazgos experimentales con práctica clínica</w:t>
      </w:r>
      <w:r w:rsidRPr="00F16D6C">
        <w:rPr>
          <w:rStyle w:val="s1"/>
          <w:rFonts w:ascii="Times New Roman" w:hAnsi="Times New Roman" w:cs="Times New Roman"/>
          <w:sz w:val="24"/>
          <w:szCs w:val="24"/>
        </w:rPr>
        <w:t xml:space="preserve">, especialmente en el estudio de metabolitos microbianos y su impacto neuroinflamatorio </w:t>
      </w:r>
      <w:r w:rsidRPr="00F16D6C">
        <w:rPr>
          <w:rStyle w:val="PiedepginaCar"/>
          <w:rFonts w:ascii="Times New Roman" w:hAnsi="Times New Roman" w:cs="Times New Roman"/>
          <w:sz w:val="24"/>
          <w:szCs w:val="24"/>
        </w:rPr>
        <w:t> </w:t>
      </w:r>
    </w:p>
    <w:p w14:paraId="1F44BEEA" w14:textId="77777777" w:rsidR="002520E5" w:rsidRPr="003013DE" w:rsidRDefault="002520E5" w:rsidP="000013F5">
      <w:pPr>
        <w:spacing w:line="360" w:lineRule="auto"/>
        <w:jc w:val="center"/>
        <w:rPr>
          <w:rFonts w:ascii="Times New Roman" w:hAnsi="Times New Roman" w:cs="Times New Roman"/>
          <w:b/>
          <w:sz w:val="32"/>
          <w:szCs w:val="32"/>
        </w:rPr>
      </w:pPr>
    </w:p>
    <w:p w14:paraId="760659F7" w14:textId="477D11E8" w:rsidR="000013F5" w:rsidRPr="003013DE" w:rsidRDefault="000013F5" w:rsidP="000013F5">
      <w:pPr>
        <w:spacing w:line="360" w:lineRule="auto"/>
        <w:jc w:val="center"/>
        <w:rPr>
          <w:rFonts w:ascii="Times New Roman" w:hAnsi="Times New Roman" w:cs="Times New Roman"/>
          <w:b/>
          <w:sz w:val="32"/>
          <w:szCs w:val="32"/>
        </w:rPr>
      </w:pPr>
    </w:p>
    <w:p w14:paraId="2424BEFC" w14:textId="30BF8AE3" w:rsidR="003013DE" w:rsidRPr="003013DE" w:rsidRDefault="003013DE" w:rsidP="000013F5">
      <w:pPr>
        <w:spacing w:line="360" w:lineRule="auto"/>
        <w:jc w:val="center"/>
        <w:rPr>
          <w:rFonts w:ascii="Times New Roman" w:hAnsi="Times New Roman" w:cs="Times New Roman"/>
          <w:b/>
          <w:sz w:val="32"/>
          <w:szCs w:val="32"/>
        </w:rPr>
      </w:pPr>
    </w:p>
    <w:p w14:paraId="3F3FE8ED" w14:textId="11D7AA5C" w:rsidR="003013DE" w:rsidRPr="003013DE" w:rsidRDefault="003013DE" w:rsidP="000013F5">
      <w:pPr>
        <w:spacing w:line="360" w:lineRule="auto"/>
        <w:jc w:val="center"/>
        <w:rPr>
          <w:rFonts w:ascii="Times New Roman" w:hAnsi="Times New Roman" w:cs="Times New Roman"/>
          <w:b/>
          <w:sz w:val="32"/>
          <w:szCs w:val="32"/>
        </w:rPr>
      </w:pPr>
    </w:p>
    <w:p w14:paraId="19AF523B" w14:textId="75F26DDC" w:rsidR="003013DE" w:rsidRPr="003013DE" w:rsidRDefault="003013DE" w:rsidP="000013F5">
      <w:pPr>
        <w:spacing w:line="360" w:lineRule="auto"/>
        <w:jc w:val="center"/>
        <w:rPr>
          <w:rFonts w:ascii="Times New Roman" w:hAnsi="Times New Roman" w:cs="Times New Roman"/>
          <w:b/>
          <w:sz w:val="32"/>
          <w:szCs w:val="32"/>
        </w:rPr>
      </w:pPr>
    </w:p>
    <w:p w14:paraId="706D7540" w14:textId="3237FA7B" w:rsidR="003013DE" w:rsidRPr="003013DE" w:rsidRDefault="003013DE" w:rsidP="000013F5">
      <w:pPr>
        <w:spacing w:line="360" w:lineRule="auto"/>
        <w:jc w:val="center"/>
        <w:rPr>
          <w:rFonts w:ascii="Times New Roman" w:hAnsi="Times New Roman" w:cs="Times New Roman"/>
          <w:b/>
          <w:sz w:val="32"/>
          <w:szCs w:val="32"/>
        </w:rPr>
      </w:pPr>
    </w:p>
    <w:p w14:paraId="28911F9F" w14:textId="77777777" w:rsidR="003013DE" w:rsidRPr="003013DE" w:rsidRDefault="003013DE" w:rsidP="000013F5">
      <w:pPr>
        <w:spacing w:line="360" w:lineRule="auto"/>
        <w:jc w:val="center"/>
        <w:rPr>
          <w:rFonts w:ascii="Times New Roman" w:hAnsi="Times New Roman" w:cs="Times New Roman"/>
          <w:b/>
          <w:sz w:val="32"/>
          <w:szCs w:val="32"/>
        </w:rPr>
      </w:pPr>
    </w:p>
    <w:p w14:paraId="7EF0D00B" w14:textId="73928F2D" w:rsidR="000013F5" w:rsidRPr="003013DE" w:rsidRDefault="000013F5" w:rsidP="003013DE">
      <w:pPr>
        <w:pStyle w:val="Ttulo1"/>
        <w:jc w:val="center"/>
        <w:rPr>
          <w:rFonts w:cs="Times New Roman"/>
          <w:b w:val="0"/>
          <w:color w:val="auto"/>
          <w:spacing w:val="-2"/>
          <w:sz w:val="32"/>
          <w:lang w:val="pt-PT"/>
        </w:rPr>
      </w:pPr>
      <w:bookmarkStart w:id="161" w:name="_Toc223177240"/>
      <w:r w:rsidRPr="003013DE">
        <w:rPr>
          <w:rFonts w:cs="Times New Roman"/>
          <w:color w:val="auto"/>
          <w:sz w:val="32"/>
          <w:lang w:val="pt-PT"/>
        </w:rPr>
        <w:t>CAPÍTULO</w:t>
      </w:r>
      <w:r w:rsidRPr="003013DE">
        <w:rPr>
          <w:rFonts w:cs="Times New Roman"/>
          <w:color w:val="auto"/>
          <w:spacing w:val="-1"/>
          <w:sz w:val="32"/>
          <w:lang w:val="pt-PT"/>
        </w:rPr>
        <w:t xml:space="preserve"> </w:t>
      </w:r>
      <w:r w:rsidRPr="003013DE">
        <w:rPr>
          <w:rFonts w:cs="Times New Roman"/>
          <w:color w:val="auto"/>
          <w:sz w:val="32"/>
          <w:lang w:val="pt-PT"/>
        </w:rPr>
        <w:t>VI-</w:t>
      </w:r>
      <w:r w:rsidRPr="003013DE">
        <w:rPr>
          <w:rFonts w:cs="Times New Roman"/>
          <w:color w:val="auto"/>
          <w:spacing w:val="-1"/>
          <w:sz w:val="32"/>
          <w:lang w:val="pt-PT"/>
        </w:rPr>
        <w:t xml:space="preserve"> </w:t>
      </w:r>
      <w:r w:rsidRPr="003013DE">
        <w:rPr>
          <w:rFonts w:cs="Times New Roman"/>
          <w:color w:val="auto"/>
          <w:spacing w:val="-2"/>
          <w:sz w:val="32"/>
          <w:lang w:val="pt-PT"/>
        </w:rPr>
        <w:t>REFERENCIAS BIBLIOGRÁFICAS</w:t>
      </w:r>
      <w:bookmarkEnd w:id="161"/>
    </w:p>
    <w:p w14:paraId="552170CA" w14:textId="36196B80" w:rsidR="00B61F4E" w:rsidRPr="003013DE" w:rsidRDefault="00B61F4E">
      <w:pPr>
        <w:rPr>
          <w:rFonts w:ascii="Times New Roman" w:hAnsi="Times New Roman" w:cs="Times New Roman"/>
          <w:b/>
          <w:spacing w:val="-2"/>
          <w:sz w:val="32"/>
          <w:szCs w:val="32"/>
          <w:lang w:val="pt-PT"/>
        </w:rPr>
      </w:pPr>
      <w:r w:rsidRPr="003013DE">
        <w:rPr>
          <w:rFonts w:ascii="Times New Roman" w:hAnsi="Times New Roman" w:cs="Times New Roman"/>
          <w:b/>
          <w:spacing w:val="-2"/>
          <w:sz w:val="32"/>
          <w:szCs w:val="32"/>
          <w:lang w:val="pt-PT"/>
        </w:rPr>
        <w:br w:type="page"/>
      </w:r>
    </w:p>
    <w:p w14:paraId="57850BB6" w14:textId="6B2D89A2" w:rsidR="00B61F4E" w:rsidRPr="00175FFD" w:rsidRDefault="000A3843"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lastRenderedPageBreak/>
        <w:t xml:space="preserve">Ullah H, et al. The gut microbiota–brain axis in neurological disorder. </w:t>
      </w:r>
      <w:r w:rsidRPr="00175FFD">
        <w:rPr>
          <w:rFonts w:ascii="Times New Roman" w:hAnsi="Times New Roman" w:cs="Times New Roman"/>
          <w:spacing w:val="-2"/>
          <w:sz w:val="24"/>
          <w:szCs w:val="24"/>
          <w:lang w:val="pt-PT"/>
        </w:rPr>
        <w:t xml:space="preserve">Frontiers in Neuroscience. 2023. Disponible en: </w:t>
      </w:r>
      <w:hyperlink r:id="rId12" w:history="1">
        <w:r w:rsidRPr="00175FFD">
          <w:rPr>
            <w:rFonts w:ascii="Times New Roman" w:hAnsi="Times New Roman" w:cs="Times New Roman"/>
            <w:spacing w:val="-2"/>
            <w:sz w:val="24"/>
            <w:szCs w:val="24"/>
            <w:lang w:val="pt-PT"/>
          </w:rPr>
          <w:t>https://www.ncbi.nlm.nih.gov/pmc/articles/PMC10436500/</w:t>
        </w:r>
      </w:hyperlink>
    </w:p>
    <w:p w14:paraId="0495E7BC" w14:textId="25187481" w:rsidR="000A3843" w:rsidRPr="00175FFD" w:rsidRDefault="00F903DE" w:rsidP="00EC5030">
      <w:pPr>
        <w:pStyle w:val="Textocomentario"/>
        <w:numPr>
          <w:ilvl w:val="0"/>
          <w:numId w:val="9"/>
        </w:numPr>
        <w:spacing w:line="360" w:lineRule="auto"/>
        <w:jc w:val="both"/>
        <w:rPr>
          <w:rFonts w:ascii="Times New Roman" w:hAnsi="Times New Roman" w:cs="Times New Roman"/>
          <w:spacing w:val="-2"/>
          <w:sz w:val="24"/>
          <w:szCs w:val="24"/>
          <w:lang w:val="en-US"/>
        </w:rPr>
      </w:pPr>
      <w:r w:rsidRPr="00175FFD">
        <w:rPr>
          <w:rFonts w:ascii="Times New Roman" w:hAnsi="Times New Roman" w:cs="Times New Roman"/>
          <w:spacing w:val="-2"/>
          <w:sz w:val="24"/>
          <w:szCs w:val="24"/>
          <w:lang w:val="en-US"/>
        </w:rPr>
        <w:t xml:space="preserve">Loh JS, et al. Microbiota–gut–brain axis and its therapeutic applications. Signal Transduction and Targeted Therapy. 2024. Disponible en: </w:t>
      </w:r>
      <w:hyperlink r:id="rId13" w:history="1">
        <w:r w:rsidRPr="00175FFD">
          <w:rPr>
            <w:rFonts w:ascii="Times New Roman" w:hAnsi="Times New Roman" w:cs="Times New Roman"/>
            <w:spacing w:val="-2"/>
            <w:sz w:val="24"/>
            <w:szCs w:val="24"/>
            <w:lang w:val="en-US"/>
          </w:rPr>
          <w:t>https://www.nature.com/articles/s41392-024-01743-1</w:t>
        </w:r>
      </w:hyperlink>
    </w:p>
    <w:p w14:paraId="00F12782" w14:textId="5D87B4CE" w:rsidR="00F903DE" w:rsidRPr="00175FFD" w:rsidRDefault="000E10DD"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t xml:space="preserve">Zhang X, et al. Parkinson's disease and gut microbiota: from clinical to mechanisms. </w:t>
      </w:r>
      <w:r w:rsidRPr="00175FFD">
        <w:rPr>
          <w:rFonts w:ascii="Times New Roman" w:hAnsi="Times New Roman" w:cs="Times New Roman"/>
          <w:spacing w:val="-2"/>
          <w:sz w:val="24"/>
          <w:szCs w:val="24"/>
          <w:lang w:val="pt-PT"/>
        </w:rPr>
        <w:t xml:space="preserve">Translational Neurodegeneration. 2023. Disponible en: </w:t>
      </w:r>
      <w:hyperlink r:id="rId14" w:history="1">
        <w:r w:rsidRPr="00175FFD">
          <w:rPr>
            <w:rFonts w:ascii="Times New Roman" w:hAnsi="Times New Roman" w:cs="Times New Roman"/>
            <w:spacing w:val="-2"/>
            <w:sz w:val="24"/>
            <w:szCs w:val="24"/>
            <w:lang w:val="pt-PT"/>
          </w:rPr>
          <w:t>https://translationalneurodegeneration.biomedcentral.com/articles/10.1186/s40035-023-00392-8</w:t>
        </w:r>
      </w:hyperlink>
    </w:p>
    <w:p w14:paraId="4AF74570" w14:textId="42F18C6A" w:rsidR="000E10DD" w:rsidRPr="00175FFD" w:rsidRDefault="00C72A9A" w:rsidP="00EC5030">
      <w:pPr>
        <w:pStyle w:val="Textocomentario"/>
        <w:numPr>
          <w:ilvl w:val="0"/>
          <w:numId w:val="9"/>
        </w:numPr>
        <w:spacing w:line="360" w:lineRule="auto"/>
        <w:jc w:val="both"/>
        <w:rPr>
          <w:rFonts w:ascii="Times New Roman" w:hAnsi="Times New Roman" w:cs="Times New Roman"/>
          <w:spacing w:val="-2"/>
          <w:sz w:val="24"/>
          <w:szCs w:val="24"/>
          <w:lang w:val="en-US"/>
        </w:rPr>
      </w:pPr>
      <w:r w:rsidRPr="00175FFD">
        <w:rPr>
          <w:rFonts w:ascii="Times New Roman" w:hAnsi="Times New Roman" w:cs="Times New Roman"/>
          <w:spacing w:val="-2"/>
          <w:sz w:val="24"/>
          <w:szCs w:val="24"/>
          <w:lang w:val="en-US"/>
        </w:rPr>
        <w:t xml:space="preserve">Heravi FS, et al. Gut microbiota composition in patients with Parkinson’s disease and Alzheimer’s disease: a systematic review. J (systematic review) 2023. Disponible en: </w:t>
      </w:r>
      <w:hyperlink r:id="rId15" w:history="1">
        <w:r w:rsidRPr="00175FFD">
          <w:rPr>
            <w:rFonts w:ascii="Times New Roman" w:hAnsi="Times New Roman" w:cs="Times New Roman"/>
            <w:spacing w:val="-2"/>
            <w:sz w:val="24"/>
            <w:szCs w:val="24"/>
            <w:lang w:val="en-US"/>
          </w:rPr>
          <w:t>https://www.ncbi.nlm.nih.gov/pmc/articles/PMC10609969/</w:t>
        </w:r>
      </w:hyperlink>
    </w:p>
    <w:p w14:paraId="6C001CDA" w14:textId="7D2DEA0B" w:rsidR="00C72A9A" w:rsidRPr="00175FFD" w:rsidRDefault="0058611F" w:rsidP="00EC5030">
      <w:pPr>
        <w:pStyle w:val="Textocomentario"/>
        <w:numPr>
          <w:ilvl w:val="0"/>
          <w:numId w:val="9"/>
        </w:numPr>
        <w:spacing w:line="360" w:lineRule="auto"/>
        <w:jc w:val="both"/>
        <w:rPr>
          <w:rFonts w:ascii="Times New Roman" w:hAnsi="Times New Roman" w:cs="Times New Roman"/>
          <w:spacing w:val="-2"/>
          <w:sz w:val="24"/>
          <w:szCs w:val="24"/>
          <w:lang w:val="en-US"/>
        </w:rPr>
      </w:pPr>
      <w:r w:rsidRPr="00175FFD">
        <w:rPr>
          <w:rFonts w:ascii="Times New Roman" w:hAnsi="Times New Roman" w:cs="Times New Roman"/>
          <w:spacing w:val="-2"/>
          <w:sz w:val="24"/>
          <w:szCs w:val="24"/>
          <w:lang w:val="en-US"/>
        </w:rPr>
        <w:t xml:space="preserve">Yuan C, et al. Review of microbiota gut brain axis and innate immunity in neurological disorders. Frontiers in Cellular and Infection Microbiology. 2023. Disponible en: </w:t>
      </w:r>
      <w:hyperlink r:id="rId16" w:history="1">
        <w:r w:rsidRPr="00175FFD">
          <w:rPr>
            <w:rFonts w:ascii="Times New Roman" w:hAnsi="Times New Roman" w:cs="Times New Roman"/>
            <w:spacing w:val="-2"/>
            <w:sz w:val="24"/>
            <w:szCs w:val="24"/>
            <w:lang w:val="en-US"/>
          </w:rPr>
          <w:t>https://www.frontiersin.org/articles/10.3389/fcimb.2023.1282431/full</w:t>
        </w:r>
      </w:hyperlink>
    </w:p>
    <w:p w14:paraId="21BDE0B3" w14:textId="080E5152" w:rsidR="0058611F" w:rsidRPr="00175FFD" w:rsidRDefault="0058611F"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rPr>
        <w:t xml:space="preserve">Rábago-Monzón ÁR. Influencia del microbioma intestinal asociado al desarrollo de enfermedades neurodegenerativas. Rev (Medigraphic) 2024. Disponible en: </w:t>
      </w:r>
      <w:hyperlink r:id="rId17" w:history="1">
        <w:r w:rsidRPr="00175FFD">
          <w:rPr>
            <w:rFonts w:ascii="Times New Roman" w:hAnsi="Times New Roman" w:cs="Times New Roman"/>
            <w:spacing w:val="-2"/>
            <w:sz w:val="24"/>
            <w:szCs w:val="24"/>
          </w:rPr>
          <w:t>https://www.medigraphic.com/cgi-bin/new/resumen.cgi?IDARTICULO=118712</w:t>
        </w:r>
      </w:hyperlink>
    </w:p>
    <w:p w14:paraId="42BA03AA" w14:textId="37943E4C" w:rsidR="0058611F" w:rsidRPr="00175FFD" w:rsidRDefault="001F3CDC" w:rsidP="00EC5030">
      <w:pPr>
        <w:pStyle w:val="Textocomentario"/>
        <w:numPr>
          <w:ilvl w:val="0"/>
          <w:numId w:val="9"/>
        </w:numPr>
        <w:spacing w:line="360" w:lineRule="auto"/>
        <w:jc w:val="both"/>
        <w:rPr>
          <w:rFonts w:ascii="Times New Roman" w:hAnsi="Times New Roman" w:cs="Times New Roman"/>
          <w:spacing w:val="-2"/>
          <w:sz w:val="24"/>
          <w:szCs w:val="24"/>
          <w:lang w:val="en-US"/>
        </w:rPr>
      </w:pPr>
      <w:r w:rsidRPr="00175FFD">
        <w:rPr>
          <w:rFonts w:ascii="Times New Roman" w:hAnsi="Times New Roman" w:cs="Times New Roman"/>
          <w:spacing w:val="-2"/>
          <w:sz w:val="24"/>
          <w:szCs w:val="24"/>
        </w:rPr>
        <w:t xml:space="preserve">Cryan JF, O’Riordan KJ, Cowan CS, Sandhu KV, Bastiaanssen TFS, Boehme M, et al. </w:t>
      </w:r>
      <w:r w:rsidRPr="00175FFD">
        <w:rPr>
          <w:rFonts w:ascii="Times New Roman" w:hAnsi="Times New Roman" w:cs="Times New Roman"/>
          <w:spacing w:val="-2"/>
          <w:sz w:val="24"/>
          <w:szCs w:val="24"/>
          <w:lang w:val="en-US"/>
        </w:rPr>
        <w:t xml:space="preserve">The microbiota-gut-brain axis. Physiol Rev. 2019;99(4):1877–2013. </w:t>
      </w:r>
      <w:hyperlink r:id="rId18" w:history="1">
        <w:r w:rsidRPr="00175FFD">
          <w:rPr>
            <w:rFonts w:ascii="Times New Roman" w:hAnsi="Times New Roman" w:cs="Times New Roman"/>
            <w:spacing w:val="-2"/>
            <w:sz w:val="24"/>
            <w:szCs w:val="24"/>
            <w:lang w:val="en-US"/>
          </w:rPr>
          <w:t>https://doi.org/10.1152/physrev.00018.2018</w:t>
        </w:r>
      </w:hyperlink>
    </w:p>
    <w:p w14:paraId="3CB86348" w14:textId="3D3E20F4" w:rsidR="001F3CDC" w:rsidRPr="00175FFD" w:rsidRDefault="001F3CDC"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t xml:space="preserve">Morais LH, Schreiber HL, Mazmanian SK. The gut microbiota–brain axis in behaviour and brain disorders. </w:t>
      </w:r>
      <w:r w:rsidRPr="00175FFD">
        <w:rPr>
          <w:rFonts w:ascii="Times New Roman" w:hAnsi="Times New Roman" w:cs="Times New Roman"/>
          <w:spacing w:val="-2"/>
          <w:sz w:val="24"/>
          <w:szCs w:val="24"/>
          <w:lang w:val="pt-PT"/>
        </w:rPr>
        <w:t xml:space="preserve">Nat Rev Microbiol. 2021;19(4):241–55. </w:t>
      </w:r>
      <w:hyperlink r:id="rId19" w:history="1">
        <w:r w:rsidRPr="00175FFD">
          <w:rPr>
            <w:rFonts w:ascii="Times New Roman" w:hAnsi="Times New Roman" w:cs="Times New Roman"/>
            <w:spacing w:val="-2"/>
            <w:sz w:val="24"/>
            <w:szCs w:val="24"/>
            <w:lang w:val="pt-PT"/>
          </w:rPr>
          <w:t>https://doi.org/10.1038/s41579-020-00460-0</w:t>
        </w:r>
      </w:hyperlink>
    </w:p>
    <w:p w14:paraId="083D4466" w14:textId="7EE31C45" w:rsidR="001F3CDC" w:rsidRPr="00175FFD" w:rsidRDefault="00BA11EB"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t xml:space="preserve">Cenit MC, Sanz Y, Codoñer-Franch P. Influence of gut microbiota on neuropsychiatric disorders. </w:t>
      </w:r>
      <w:r w:rsidRPr="00175FFD">
        <w:rPr>
          <w:rFonts w:ascii="Times New Roman" w:hAnsi="Times New Roman" w:cs="Times New Roman"/>
          <w:spacing w:val="-2"/>
          <w:sz w:val="24"/>
          <w:szCs w:val="24"/>
          <w:lang w:val="pt-PT"/>
        </w:rPr>
        <w:t xml:space="preserve">World J Gastroenterol. 2017;23(30):5486–98. </w:t>
      </w:r>
      <w:hyperlink r:id="rId20" w:history="1">
        <w:r w:rsidRPr="00175FFD">
          <w:rPr>
            <w:rFonts w:ascii="Times New Roman" w:hAnsi="Times New Roman" w:cs="Times New Roman"/>
            <w:spacing w:val="-2"/>
            <w:sz w:val="24"/>
            <w:szCs w:val="24"/>
            <w:lang w:val="pt-PT"/>
          </w:rPr>
          <w:t>https://doi.org/10.3748/wjg.v23.i30.5486</w:t>
        </w:r>
      </w:hyperlink>
    </w:p>
    <w:p w14:paraId="48080EC1" w14:textId="5F199577" w:rsidR="00BA11EB" w:rsidRPr="00175FFD" w:rsidRDefault="00BA11EB"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lastRenderedPageBreak/>
        <w:t xml:space="preserve">D’Argenio V, Sarnataro D. Microbiome influence in the pathogenesis of neurodegenerative diseases. </w:t>
      </w:r>
      <w:r w:rsidRPr="00175FFD">
        <w:rPr>
          <w:rFonts w:ascii="Times New Roman" w:hAnsi="Times New Roman" w:cs="Times New Roman"/>
          <w:spacing w:val="-2"/>
          <w:sz w:val="24"/>
          <w:szCs w:val="24"/>
          <w:lang w:val="pt-PT"/>
        </w:rPr>
        <w:t xml:space="preserve">Biomedicines. 2021;9(4):1–16. </w:t>
      </w:r>
      <w:hyperlink r:id="rId21" w:history="1">
        <w:r w:rsidRPr="00175FFD">
          <w:rPr>
            <w:rFonts w:ascii="Times New Roman" w:hAnsi="Times New Roman" w:cs="Times New Roman"/>
            <w:spacing w:val="-2"/>
            <w:sz w:val="24"/>
            <w:szCs w:val="24"/>
            <w:lang w:val="pt-PT"/>
          </w:rPr>
          <w:t>https://doi.org/10.3390/biomedicines9040455</w:t>
        </w:r>
      </w:hyperlink>
    </w:p>
    <w:p w14:paraId="64009F13" w14:textId="37A6316B" w:rsidR="00BA11EB" w:rsidRPr="00175FFD" w:rsidRDefault="00357FD5"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pt-PT"/>
        </w:rPr>
        <w:t xml:space="preserve">Silva YP, Bernardi A, Frozza RL. </w:t>
      </w:r>
      <w:r w:rsidRPr="00175FFD">
        <w:rPr>
          <w:rFonts w:ascii="Times New Roman" w:hAnsi="Times New Roman" w:cs="Times New Roman"/>
          <w:spacing w:val="-2"/>
          <w:sz w:val="24"/>
          <w:szCs w:val="24"/>
          <w:lang w:val="en-US"/>
        </w:rPr>
        <w:t xml:space="preserve">The role of short-chain fatty acids from gut microbiota in gut-brain communication. </w:t>
      </w:r>
      <w:r w:rsidRPr="00175FFD">
        <w:rPr>
          <w:rFonts w:ascii="Times New Roman" w:hAnsi="Times New Roman" w:cs="Times New Roman"/>
          <w:spacing w:val="-2"/>
          <w:sz w:val="24"/>
          <w:szCs w:val="24"/>
          <w:lang w:val="pt-PT"/>
        </w:rPr>
        <w:t xml:space="preserve">Front Endocrinol. 2020;11:25. </w:t>
      </w:r>
      <w:hyperlink r:id="rId22" w:history="1">
        <w:r w:rsidRPr="00175FFD">
          <w:rPr>
            <w:rFonts w:ascii="Times New Roman" w:hAnsi="Times New Roman" w:cs="Times New Roman"/>
            <w:spacing w:val="-2"/>
            <w:sz w:val="24"/>
            <w:szCs w:val="24"/>
            <w:lang w:val="pt-PT"/>
          </w:rPr>
          <w:t>https://doi.org/10.3389/fendo.2020.00025</w:t>
        </w:r>
      </w:hyperlink>
    </w:p>
    <w:p w14:paraId="00606B92" w14:textId="46867E07" w:rsidR="00357FD5" w:rsidRPr="00175FFD" w:rsidRDefault="00357FD5"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t xml:space="preserve">World Health Organization (WHO). Global status report on the public health response to dementia. </w:t>
      </w:r>
      <w:r w:rsidRPr="00175FFD">
        <w:rPr>
          <w:rFonts w:ascii="Times New Roman" w:hAnsi="Times New Roman" w:cs="Times New Roman"/>
          <w:spacing w:val="-2"/>
          <w:sz w:val="24"/>
          <w:szCs w:val="24"/>
          <w:lang w:val="pt-PT"/>
        </w:rPr>
        <w:t xml:space="preserve">Geneva: WHO; 2021. </w:t>
      </w:r>
      <w:hyperlink r:id="rId23" w:history="1">
        <w:r w:rsidRPr="00175FFD">
          <w:rPr>
            <w:rFonts w:ascii="Times New Roman" w:hAnsi="Times New Roman" w:cs="Times New Roman"/>
            <w:spacing w:val="-2"/>
            <w:sz w:val="24"/>
            <w:szCs w:val="24"/>
            <w:lang w:val="pt-PT"/>
          </w:rPr>
          <w:t>https://www.who.int/publications/i/item/9789240033245</w:t>
        </w:r>
      </w:hyperlink>
    </w:p>
    <w:p w14:paraId="61F1468C" w14:textId="550069CE" w:rsidR="00357FD5" w:rsidRPr="00175FFD" w:rsidRDefault="009779F1"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rPr>
        <w:t xml:space="preserve">Estado de la Nación. Informe 2022: Estado de la población en Costa Rica. Programa Estado de la Nación; 2022. Disponible en: </w:t>
      </w:r>
      <w:hyperlink r:id="rId24" w:history="1">
        <w:r w:rsidRPr="00175FFD">
          <w:rPr>
            <w:rFonts w:ascii="Times New Roman" w:hAnsi="Times New Roman" w:cs="Times New Roman"/>
            <w:spacing w:val="-2"/>
            <w:sz w:val="24"/>
            <w:szCs w:val="24"/>
          </w:rPr>
          <w:t>https://estadonacion.or.cr</w:t>
        </w:r>
      </w:hyperlink>
    </w:p>
    <w:p w14:paraId="3A975450" w14:textId="77777777" w:rsidR="004A5132" w:rsidRPr="00175FFD" w:rsidRDefault="004A5132" w:rsidP="00EC5030">
      <w:pPr>
        <w:pStyle w:val="Piedepgina"/>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Sudo N, Chida Y, Aiba Y, Sonoda J, Oyama N, Yu X-N, et al. </w:t>
      </w:r>
      <w:r w:rsidRPr="00175FFD">
        <w:rPr>
          <w:rFonts w:ascii="Times New Roman" w:hAnsi="Times New Roman" w:cs="Times New Roman"/>
          <w:sz w:val="24"/>
          <w:szCs w:val="24"/>
          <w:lang w:val="en-US"/>
        </w:rPr>
        <w:t>Postnatal microbial colonization programs the hypothalamic–pituitary–adrenal system for stress response in mice.</w:t>
      </w:r>
      <w:r w:rsidRPr="00175FFD">
        <w:rPr>
          <w:rStyle w:val="PiedepginaCar"/>
          <w:rFonts w:ascii="Times New Roman" w:hAnsi="Times New Roman" w:cs="Times New Roman"/>
          <w:sz w:val="24"/>
          <w:szCs w:val="24"/>
          <w:lang w:val="en-US"/>
        </w:rPr>
        <w:t> </w:t>
      </w:r>
      <w:r w:rsidRPr="00175FFD">
        <w:rPr>
          <w:rStyle w:val="Mencinsinresolver"/>
          <w:rFonts w:ascii="Times New Roman" w:hAnsi="Times New Roman" w:cs="Times New Roman"/>
          <w:color w:val="auto"/>
          <w:sz w:val="24"/>
          <w:szCs w:val="24"/>
          <w:lang w:val="en-US"/>
        </w:rPr>
        <w:t>J Physiol</w:t>
      </w:r>
      <w:r w:rsidRPr="00175FFD">
        <w:rPr>
          <w:rFonts w:ascii="Times New Roman" w:hAnsi="Times New Roman" w:cs="Times New Roman"/>
          <w:sz w:val="24"/>
          <w:szCs w:val="24"/>
          <w:lang w:val="en-US"/>
        </w:rPr>
        <w:t>. 2004;558(Pt1):263-75. doi:10.1113/jphysiol.2004.063388. PubMed PMID: 15142977.</w:t>
      </w:r>
    </w:p>
    <w:p w14:paraId="703343BD" w14:textId="772966A3" w:rsidR="009779F1" w:rsidRPr="00175FFD" w:rsidRDefault="007A4CFE"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eastAsia="Times New Roman" w:hAnsi="Times New Roman" w:cs="Times New Roman"/>
          <w:sz w:val="24"/>
          <w:szCs w:val="24"/>
          <w:lang w:val="en-US"/>
        </w:rPr>
        <w:t>Bercik P, Denou E, Collins J, Jackson W, Lu J, Jury J, et al. The intestinal microbiota affect central levels of brain-derived neurotrophic factor and behavior in mice.</w:t>
      </w:r>
      <w:r w:rsidRPr="00175FFD">
        <w:rPr>
          <w:rStyle w:val="PiedepginaCar"/>
          <w:rFonts w:ascii="Times New Roman" w:eastAsia="Times New Roman" w:hAnsi="Times New Roman" w:cs="Times New Roman"/>
          <w:sz w:val="24"/>
          <w:szCs w:val="24"/>
          <w:lang w:val="en-US"/>
        </w:rPr>
        <w:t> </w:t>
      </w:r>
      <w:r w:rsidRPr="00175FFD">
        <w:rPr>
          <w:rStyle w:val="Mencinsinresolver"/>
          <w:rFonts w:ascii="Times New Roman" w:eastAsia="Times New Roman" w:hAnsi="Times New Roman" w:cs="Times New Roman"/>
          <w:color w:val="auto"/>
          <w:sz w:val="24"/>
          <w:szCs w:val="24"/>
        </w:rPr>
        <w:t>Gastroenterology</w:t>
      </w:r>
      <w:r w:rsidRPr="00175FFD">
        <w:rPr>
          <w:rFonts w:ascii="Times New Roman" w:eastAsia="Times New Roman" w:hAnsi="Times New Roman" w:cs="Times New Roman"/>
          <w:sz w:val="24"/>
          <w:szCs w:val="24"/>
        </w:rPr>
        <w:t>. 2008;135(4):1020-7.e6. doi:10.1053/j.gastro.2008.05.052. PubMed PMID: 18757548.</w:t>
      </w:r>
    </w:p>
    <w:p w14:paraId="3492F6B6" w14:textId="77777777" w:rsidR="007A4CFE" w:rsidRPr="00175FFD" w:rsidRDefault="007A4CFE" w:rsidP="00EC5030">
      <w:pPr>
        <w:pStyle w:val="Piedepgina"/>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Heijtz RD, Wang S, Anuar F, Qian Y, Björkholm B, Samuelsson A, et al. Normal gut microbiota modulates brain development and behavior.</w:t>
      </w:r>
      <w:r w:rsidRPr="00175FFD">
        <w:rPr>
          <w:rStyle w:val="PiedepginaCar"/>
          <w:rFonts w:ascii="Times New Roman" w:hAnsi="Times New Roman" w:cs="Times New Roman"/>
          <w:sz w:val="24"/>
          <w:szCs w:val="24"/>
          <w:lang w:val="en-US"/>
        </w:rPr>
        <w:t> </w:t>
      </w:r>
      <w:r w:rsidRPr="00175FFD">
        <w:rPr>
          <w:rStyle w:val="Mencinsinresolver"/>
          <w:rFonts w:ascii="Times New Roman" w:hAnsi="Times New Roman" w:cs="Times New Roman"/>
          <w:color w:val="auto"/>
          <w:sz w:val="24"/>
          <w:szCs w:val="24"/>
          <w:lang w:val="en-US"/>
        </w:rPr>
        <w:t>Proc Natl Acad Sci U S A</w:t>
      </w:r>
      <w:r w:rsidRPr="00175FFD">
        <w:rPr>
          <w:rFonts w:ascii="Times New Roman" w:hAnsi="Times New Roman" w:cs="Times New Roman"/>
          <w:sz w:val="24"/>
          <w:szCs w:val="24"/>
          <w:lang w:val="en-US"/>
        </w:rPr>
        <w:t>. 2011;108(7):3047-52. doi:10.1073/pnas.1010529108. PubMed PMID: 21282636.</w:t>
      </w:r>
    </w:p>
    <w:p w14:paraId="451BA0A3" w14:textId="50827F43" w:rsidR="007A4CFE" w:rsidRPr="00175FFD" w:rsidRDefault="004341C7"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t xml:space="preserve">Harach T, Marungruang N, Dutilleul N, Cheatham V, McCoy KD, Neher JJ, Jucker M, Fåk F, Lasser T, Bolmont T. Reduction of Alzheimer’s disease beta-amyloid pathology in the absence of gut microbiota. </w:t>
      </w:r>
      <w:r w:rsidRPr="00175FFD">
        <w:rPr>
          <w:rFonts w:ascii="Times New Roman" w:hAnsi="Times New Roman" w:cs="Times New Roman"/>
          <w:spacing w:val="-2"/>
          <w:sz w:val="24"/>
          <w:szCs w:val="24"/>
          <w:lang w:val="pt-PT"/>
        </w:rPr>
        <w:t>J Exp Med. 2017;214(3):761-74. doi:10.1084/jem.20161939. PubMed PMID: 28193871.</w:t>
      </w:r>
    </w:p>
    <w:p w14:paraId="2AEA998D" w14:textId="1F6EFC8F" w:rsidR="004341C7" w:rsidRPr="00175FFD" w:rsidRDefault="004341C7" w:rsidP="00EC5030">
      <w:pPr>
        <w:pStyle w:val="Textocomentario"/>
        <w:numPr>
          <w:ilvl w:val="0"/>
          <w:numId w:val="9"/>
        </w:numPr>
        <w:spacing w:line="360" w:lineRule="auto"/>
        <w:jc w:val="both"/>
        <w:rPr>
          <w:rFonts w:ascii="Times New Roman" w:hAnsi="Times New Roman" w:cs="Times New Roman"/>
          <w:spacing w:val="-2"/>
          <w:sz w:val="24"/>
          <w:szCs w:val="24"/>
          <w:lang w:val="pt-PT"/>
        </w:rPr>
      </w:pPr>
      <w:r w:rsidRPr="00175FFD">
        <w:rPr>
          <w:rFonts w:ascii="Times New Roman" w:hAnsi="Times New Roman" w:cs="Times New Roman"/>
          <w:spacing w:val="-2"/>
          <w:sz w:val="24"/>
          <w:szCs w:val="24"/>
          <w:lang w:val="en-US"/>
        </w:rPr>
        <w:t xml:space="preserve">Forsythe P, Kunze WA, Bienenstock J. Vagal pathways for microbe-mediated effects on behavior and the nervous system. </w:t>
      </w:r>
      <w:r w:rsidRPr="00175FFD">
        <w:rPr>
          <w:rFonts w:ascii="Times New Roman" w:hAnsi="Times New Roman" w:cs="Times New Roman"/>
          <w:spacing w:val="-2"/>
          <w:sz w:val="24"/>
          <w:szCs w:val="24"/>
          <w:lang w:val="pt-PT"/>
        </w:rPr>
        <w:t>Neurogastroenterol Motil. 2007;19(4):213-23. doi:10.1111/j.1365-2982.2007.00881.x. PubMed PMID: 17302819.</w:t>
      </w:r>
    </w:p>
    <w:p w14:paraId="24009BCA" w14:textId="270DD6BE" w:rsidR="0086161E" w:rsidRPr="00175FFD" w:rsidRDefault="00BC5F7C"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lang w:val="en-US"/>
        </w:rPr>
        <w:lastRenderedPageBreak/>
        <w:t xml:space="preserve">Hung CC, et al. Gut microbiota in patients with Alzheimer’s disease spectrum: a systematic review and meta-analysis. </w:t>
      </w:r>
      <w:r w:rsidRPr="00175FFD">
        <w:rPr>
          <w:rFonts w:ascii="Times New Roman" w:hAnsi="Times New Roman" w:cs="Times New Roman"/>
          <w:spacing w:val="-2"/>
          <w:sz w:val="24"/>
          <w:szCs w:val="24"/>
        </w:rPr>
        <w:t xml:space="preserve">J Alzheimers Dis. 2022. Disponible en: </w:t>
      </w:r>
      <w:hyperlink r:id="rId25" w:history="1">
        <w:r w:rsidRPr="00175FFD">
          <w:rPr>
            <w:rFonts w:ascii="Times New Roman" w:hAnsi="Times New Roman" w:cs="Times New Roman"/>
            <w:spacing w:val="-2"/>
            <w:sz w:val="24"/>
            <w:szCs w:val="24"/>
          </w:rPr>
          <w:t>https://pubmed.ncbi.nlm.nih.gov/35027502/</w:t>
        </w:r>
      </w:hyperlink>
    </w:p>
    <w:p w14:paraId="28028EB7" w14:textId="5575E658" w:rsidR="00BC5F7C" w:rsidRPr="00175FFD" w:rsidRDefault="00BC5F7C" w:rsidP="00EC5030">
      <w:pPr>
        <w:pStyle w:val="Textocomentario"/>
        <w:numPr>
          <w:ilvl w:val="0"/>
          <w:numId w:val="9"/>
        </w:numPr>
        <w:spacing w:line="360" w:lineRule="auto"/>
        <w:jc w:val="both"/>
        <w:rPr>
          <w:rFonts w:ascii="Times New Roman" w:hAnsi="Times New Roman" w:cs="Times New Roman"/>
          <w:spacing w:val="-2"/>
          <w:sz w:val="24"/>
          <w:szCs w:val="24"/>
          <w:lang w:val="en-US"/>
        </w:rPr>
      </w:pPr>
      <w:r w:rsidRPr="00175FFD">
        <w:rPr>
          <w:rFonts w:ascii="Times New Roman" w:eastAsia="Times New Roman" w:hAnsi="Times New Roman" w:cs="Times New Roman"/>
          <w:sz w:val="24"/>
          <w:szCs w:val="24"/>
          <w:lang w:val="en-US"/>
        </w:rPr>
        <w:t>Lubomski M, et al. The Gut Microbiome in Parkinson’s Disease.</w:t>
      </w:r>
      <w:r w:rsidRPr="00175FFD">
        <w:rPr>
          <w:rStyle w:val="PiedepginaCar"/>
          <w:rFonts w:ascii="Times New Roman" w:eastAsia="Times New Roman" w:hAnsi="Times New Roman" w:cs="Times New Roman"/>
          <w:sz w:val="24"/>
          <w:szCs w:val="24"/>
          <w:lang w:val="en-US"/>
        </w:rPr>
        <w:t> </w:t>
      </w:r>
      <w:r w:rsidRPr="00175FFD">
        <w:rPr>
          <w:rStyle w:val="Mencinsinresolver"/>
          <w:rFonts w:ascii="Times New Roman" w:eastAsia="Times New Roman" w:hAnsi="Times New Roman" w:cs="Times New Roman"/>
          <w:color w:val="auto"/>
          <w:sz w:val="24"/>
          <w:szCs w:val="24"/>
          <w:lang w:val="en-US"/>
        </w:rPr>
        <w:t>Curr Neurol Neurosci Rep</w:t>
      </w:r>
      <w:r w:rsidRPr="00175FFD">
        <w:rPr>
          <w:rFonts w:ascii="Times New Roman" w:eastAsia="Times New Roman" w:hAnsi="Times New Roman" w:cs="Times New Roman"/>
          <w:sz w:val="24"/>
          <w:szCs w:val="24"/>
          <w:lang w:val="en-US"/>
        </w:rPr>
        <w:t>. 2022. Disponible en:</w:t>
      </w:r>
      <w:r w:rsidRPr="00175FFD">
        <w:rPr>
          <w:rStyle w:val="PiedepginaCar"/>
          <w:rFonts w:ascii="Times New Roman" w:eastAsia="Times New Roman" w:hAnsi="Times New Roman" w:cs="Times New Roman"/>
          <w:sz w:val="24"/>
          <w:szCs w:val="24"/>
          <w:lang w:val="en-US"/>
        </w:rPr>
        <w:t> </w:t>
      </w:r>
      <w:hyperlink r:id="rId26" w:history="1">
        <w:r w:rsidR="00F543B4" w:rsidRPr="00175FFD">
          <w:rPr>
            <w:rFonts w:ascii="Times New Roman" w:eastAsia="Times New Roman" w:hAnsi="Times New Roman" w:cs="Times New Roman"/>
            <w:sz w:val="24"/>
            <w:szCs w:val="24"/>
            <w:lang w:val="en-US"/>
          </w:rPr>
          <w:t>https://www.ncbi.nlm.nih.gov/pmc/articles/PMC9152137/</w:t>
        </w:r>
      </w:hyperlink>
    </w:p>
    <w:p w14:paraId="2A07CEA5" w14:textId="46BBEBE9" w:rsidR="00F543B4" w:rsidRPr="00175FFD" w:rsidRDefault="008F1283"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lang w:val="en-US"/>
        </w:rPr>
        <w:t xml:space="preserve">Zhang T, et al. Gut microbiome-targeted therapies for Alzheimer’s disease: current evidence and future directions. Review. </w:t>
      </w:r>
      <w:r w:rsidRPr="00175FFD">
        <w:rPr>
          <w:rFonts w:ascii="Times New Roman" w:hAnsi="Times New Roman" w:cs="Times New Roman"/>
          <w:spacing w:val="-2"/>
          <w:sz w:val="24"/>
          <w:szCs w:val="24"/>
        </w:rPr>
        <w:t xml:space="preserve">2023. Disponible en: </w:t>
      </w:r>
      <w:hyperlink r:id="rId27" w:history="1">
        <w:r w:rsidRPr="00175FFD">
          <w:rPr>
            <w:rFonts w:ascii="Times New Roman" w:hAnsi="Times New Roman" w:cs="Times New Roman"/>
            <w:spacing w:val="-2"/>
            <w:sz w:val="24"/>
            <w:szCs w:val="24"/>
          </w:rPr>
          <w:t>https://www.ncbi.nlm.nih.gov/pmc/articles/PMC10631445/</w:t>
        </w:r>
      </w:hyperlink>
    </w:p>
    <w:p w14:paraId="56BCB7CD" w14:textId="36299542" w:rsidR="008F1283" w:rsidRPr="00175FFD" w:rsidRDefault="008F1283"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lang w:val="en-US"/>
        </w:rPr>
        <w:t xml:space="preserve">Gao C, et al. Early changes of fecal short-chain fatty acid levels in patients with mild cognitive impairment. </w:t>
      </w:r>
      <w:r w:rsidRPr="00175FFD">
        <w:rPr>
          <w:rFonts w:ascii="Times New Roman" w:hAnsi="Times New Roman" w:cs="Times New Roman"/>
          <w:spacing w:val="-2"/>
          <w:sz w:val="24"/>
          <w:szCs w:val="24"/>
        </w:rPr>
        <w:t xml:space="preserve">Clin Transl Med / J? 2023. Disponible en: </w:t>
      </w:r>
      <w:hyperlink r:id="rId28" w:history="1">
        <w:r w:rsidRPr="00175FFD">
          <w:rPr>
            <w:rFonts w:ascii="Times New Roman" w:hAnsi="Times New Roman" w:cs="Times New Roman"/>
            <w:spacing w:val="-2"/>
            <w:sz w:val="24"/>
            <w:szCs w:val="24"/>
          </w:rPr>
          <w:t>https://www.ncbi.nlm.nih.gov/pmc/articles/PMC10580335</w:t>
        </w:r>
      </w:hyperlink>
    </w:p>
    <w:p w14:paraId="7D3C100C" w14:textId="0CA1BFC0" w:rsidR="008F1283" w:rsidRPr="00175FFD" w:rsidRDefault="00C206A3" w:rsidP="00EC5030">
      <w:pPr>
        <w:pStyle w:val="Textocomentario"/>
        <w:numPr>
          <w:ilvl w:val="0"/>
          <w:numId w:val="9"/>
        </w:numPr>
        <w:spacing w:line="360" w:lineRule="auto"/>
        <w:jc w:val="both"/>
        <w:rPr>
          <w:rFonts w:ascii="Times New Roman" w:hAnsi="Times New Roman" w:cs="Times New Roman"/>
          <w:spacing w:val="-2"/>
          <w:sz w:val="24"/>
          <w:szCs w:val="24"/>
          <w:lang w:val="en-US"/>
        </w:rPr>
      </w:pPr>
      <w:r w:rsidRPr="00175FFD">
        <w:rPr>
          <w:rFonts w:ascii="Times New Roman" w:hAnsi="Times New Roman" w:cs="Times New Roman"/>
          <w:spacing w:val="-2"/>
          <w:sz w:val="24"/>
          <w:szCs w:val="24"/>
          <w:lang w:val="en-US"/>
        </w:rPr>
        <w:t xml:space="preserve">Hung CC, Chang C-C, Huang C-W, Nouchi R, Cheng C-H, et al. Gut microbiota in patients with Alzheimer’s disease spectrum: a systematic review and meta-analysis. Aging (Albany NY). 2022;14(1):477–496. doi:10.18632/aging.203826. Disponible en: </w:t>
      </w:r>
      <w:hyperlink r:id="rId29" w:history="1">
        <w:r w:rsidRPr="00175FFD">
          <w:rPr>
            <w:rFonts w:ascii="Times New Roman" w:hAnsi="Times New Roman" w:cs="Times New Roman"/>
            <w:spacing w:val="-2"/>
            <w:sz w:val="24"/>
            <w:szCs w:val="24"/>
            <w:lang w:val="en-US"/>
          </w:rPr>
          <w:t>https://www.ncbi.nlm.nih.gov/pmc/articles/PMC8791218/</w:t>
        </w:r>
      </w:hyperlink>
    </w:p>
    <w:p w14:paraId="16EC9564" w14:textId="701989F0" w:rsidR="00C206A3" w:rsidRPr="00175FFD" w:rsidRDefault="008D45F1"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lang w:val="en-US"/>
        </w:rPr>
        <w:t xml:space="preserve">Scheperjans F, Levo R, Bosch B, et al. Fecal Microbiota Transplantation for Treatment of Parkinson Disease: A Randomized Clinical Trial. </w:t>
      </w:r>
      <w:r w:rsidRPr="00175FFD">
        <w:rPr>
          <w:rFonts w:ascii="Times New Roman" w:hAnsi="Times New Roman" w:cs="Times New Roman"/>
          <w:spacing w:val="-2"/>
          <w:sz w:val="24"/>
          <w:szCs w:val="24"/>
        </w:rPr>
        <w:t xml:space="preserve">JAMA Neurol. 2024;81(9):925–938. doi:10.1001/jamaneurol.2024.2305. Disponible en: </w:t>
      </w:r>
      <w:hyperlink r:id="rId30" w:history="1">
        <w:r w:rsidRPr="00175FFD">
          <w:rPr>
            <w:rFonts w:ascii="Times New Roman" w:hAnsi="Times New Roman" w:cs="Times New Roman"/>
            <w:spacing w:val="-2"/>
            <w:sz w:val="24"/>
            <w:szCs w:val="24"/>
          </w:rPr>
          <w:t>https://jamanetwork.com/journals/jamaneurology/fullarticle/2821254</w:t>
        </w:r>
      </w:hyperlink>
    </w:p>
    <w:p w14:paraId="4525DDDF" w14:textId="3127AEEC" w:rsidR="008D45F1" w:rsidRPr="00175FFD" w:rsidRDefault="00240AFA" w:rsidP="00EC5030">
      <w:pPr>
        <w:pStyle w:val="Textocomentario"/>
        <w:numPr>
          <w:ilvl w:val="0"/>
          <w:numId w:val="9"/>
        </w:numPr>
        <w:spacing w:line="360" w:lineRule="auto"/>
        <w:jc w:val="both"/>
        <w:rPr>
          <w:rFonts w:ascii="Times New Roman" w:hAnsi="Times New Roman" w:cs="Times New Roman"/>
          <w:spacing w:val="-2"/>
          <w:sz w:val="24"/>
          <w:szCs w:val="24"/>
          <w:lang w:val="en-US"/>
        </w:rPr>
      </w:pPr>
      <w:r w:rsidRPr="00175FFD">
        <w:rPr>
          <w:rFonts w:ascii="Times New Roman" w:hAnsi="Times New Roman" w:cs="Times New Roman"/>
          <w:spacing w:val="-2"/>
          <w:sz w:val="24"/>
          <w:szCs w:val="24"/>
          <w:lang w:val="en-US"/>
        </w:rPr>
        <w:t xml:space="preserve">Qian X-H, Xie R-Y, Liu X-L, Chen S-D, Tang H-D. Mechanisms of Short-Chain Fatty Acids Derived from Gut Microbiota in Alzheimer’s Disease. Aging Dis. 2022;13(4):1252–1266. doi:10.14336/AD.2021.1215. Disponible en: </w:t>
      </w:r>
      <w:hyperlink r:id="rId31" w:history="1">
        <w:r w:rsidRPr="00175FFD">
          <w:rPr>
            <w:rFonts w:ascii="Times New Roman" w:hAnsi="Times New Roman" w:cs="Times New Roman"/>
            <w:spacing w:val="-2"/>
            <w:sz w:val="24"/>
            <w:szCs w:val="24"/>
            <w:lang w:val="en-US"/>
          </w:rPr>
          <w:t>https://www.aginganddisease.org/EN/10.14336/AD.2021.1215</w:t>
        </w:r>
      </w:hyperlink>
    </w:p>
    <w:p w14:paraId="25BAAA8C" w14:textId="688E677F" w:rsidR="00240AFA" w:rsidRPr="00175FFD" w:rsidRDefault="00240AFA"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rPr>
        <w:t xml:space="preserve">López Espinoza JA. Rol de la Microbiota Intestinal en la Función Cognitiva de los Adultos Mayores [Tesis]. San José: Universidad de Costa Rica; 2024. Disponible en: </w:t>
      </w:r>
      <w:hyperlink r:id="rId32" w:history="1">
        <w:r w:rsidRPr="00175FFD">
          <w:rPr>
            <w:rFonts w:ascii="Times New Roman" w:hAnsi="Times New Roman" w:cs="Times New Roman"/>
            <w:spacing w:val="-2"/>
            <w:sz w:val="24"/>
            <w:szCs w:val="24"/>
          </w:rPr>
          <w:t>https://www.kerwa.ucr.ac.cr/items/7ee7e1d3-09ce-442a-add0-2cbc6d5ffb20</w:t>
        </w:r>
      </w:hyperlink>
    </w:p>
    <w:p w14:paraId="66A77B38" w14:textId="35DDE161" w:rsidR="00240AFA" w:rsidRPr="00175FFD" w:rsidRDefault="000D77B1"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rPr>
        <w:lastRenderedPageBreak/>
        <w:t xml:space="preserve">Morales KC. Microbiota intestinal y su influencia en el comportamiento. Rev Ciencia y Salud (UCR). 2022. Disponible en: </w:t>
      </w:r>
      <w:hyperlink r:id="rId33" w:history="1">
        <w:r w:rsidRPr="00175FFD">
          <w:rPr>
            <w:rFonts w:ascii="Times New Roman" w:hAnsi="Times New Roman" w:cs="Times New Roman"/>
            <w:spacing w:val="-2"/>
            <w:sz w:val="24"/>
            <w:szCs w:val="24"/>
          </w:rPr>
          <w:t>https://revistacienciaysalud.ac.cr/ojs/index.php/cienciaysalud/article/view/374/506</w:t>
        </w:r>
      </w:hyperlink>
    </w:p>
    <w:p w14:paraId="2D2DD19A" w14:textId="603E2D8A" w:rsidR="000D77B1" w:rsidRPr="00175FFD" w:rsidRDefault="000D77B1"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rPr>
        <w:t xml:space="preserve">Matamoros Ruiz M. Efectos de la microbiota intestinal sobre la neuroquímica de los trastornos del espectro autista [Tesis]. Costa Rica: KIMUK/CONARE; 2023. Disponible en: </w:t>
      </w:r>
      <w:hyperlink r:id="rId34" w:history="1">
        <w:r w:rsidRPr="00175FFD">
          <w:rPr>
            <w:rFonts w:ascii="Times New Roman" w:hAnsi="Times New Roman" w:cs="Times New Roman"/>
            <w:spacing w:val="-2"/>
            <w:sz w:val="24"/>
            <w:szCs w:val="24"/>
          </w:rPr>
          <w:t>https://kimuk.conare.ac.cr/Record/KUCR_13b84fb901f793e65b0a9c72e5cc868f</w:t>
        </w:r>
      </w:hyperlink>
    </w:p>
    <w:p w14:paraId="059FD691" w14:textId="73892207" w:rsidR="000D77B1" w:rsidRPr="00175FFD" w:rsidRDefault="000D77B1"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rPr>
        <w:t xml:space="preserve">Collado Sanabria AM. Rol de la disbiosis intestinal en la génesis del trastorno depresivo: evidencia actual [Tesis]. San José: Universidad de Costa Rica; 2024. Disponible en: </w:t>
      </w:r>
      <w:hyperlink r:id="rId35" w:history="1">
        <w:r w:rsidRPr="00175FFD">
          <w:rPr>
            <w:rFonts w:ascii="Times New Roman" w:hAnsi="Times New Roman" w:cs="Times New Roman"/>
            <w:spacing w:val="-2"/>
            <w:sz w:val="24"/>
            <w:szCs w:val="24"/>
          </w:rPr>
          <w:t>https://www.kerwa.ucr.ac.cr/items/6e97a13c-b624-43b6-a57b-344fc66fb1d1</w:t>
        </w:r>
      </w:hyperlink>
    </w:p>
    <w:p w14:paraId="4B1FD0E9" w14:textId="0B3AD361" w:rsidR="000D77B1" w:rsidRPr="00175FFD" w:rsidRDefault="001D0993" w:rsidP="00EC5030">
      <w:pPr>
        <w:pStyle w:val="Textocomentario"/>
        <w:numPr>
          <w:ilvl w:val="0"/>
          <w:numId w:val="9"/>
        </w:numPr>
        <w:spacing w:line="360" w:lineRule="auto"/>
        <w:jc w:val="both"/>
        <w:rPr>
          <w:rFonts w:ascii="Times New Roman" w:hAnsi="Times New Roman" w:cs="Times New Roman"/>
          <w:spacing w:val="-2"/>
          <w:sz w:val="24"/>
          <w:szCs w:val="24"/>
        </w:rPr>
      </w:pPr>
      <w:r w:rsidRPr="00175FFD">
        <w:rPr>
          <w:rFonts w:ascii="Times New Roman" w:hAnsi="Times New Roman" w:cs="Times New Roman"/>
          <w:spacing w:val="-2"/>
          <w:sz w:val="24"/>
          <w:szCs w:val="24"/>
        </w:rPr>
        <w:t xml:space="preserve">CITA-UCR. Microbiota intestinal y envejecimiento saludable: el caso de la Península de Nicoya, Costa Rica; seminario/proyecto (23 May 2023). Disponible en: </w:t>
      </w:r>
      <w:hyperlink r:id="rId36" w:history="1">
        <w:r w:rsidR="00B20969" w:rsidRPr="00175FFD">
          <w:rPr>
            <w:rFonts w:ascii="Times New Roman" w:hAnsi="Times New Roman" w:cs="Times New Roman"/>
            <w:spacing w:val="-2"/>
            <w:sz w:val="24"/>
            <w:szCs w:val="24"/>
          </w:rPr>
          <w:t>https://cita.ucr.ac.cr/microbiota-intestinal-y-envejecimiento-saludable-el-caso-de-la-peninsula-de-nicoya-costa-rica</w:t>
        </w:r>
      </w:hyperlink>
    </w:p>
    <w:p w14:paraId="3D3AEC1A" w14:textId="63939D23" w:rsidR="00B20969" w:rsidRPr="00175FFD" w:rsidRDefault="00B20969"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Sekirov I, Russell SL, Antunes LC, Finlay BB. Gut microbiota in health and disease. </w:t>
      </w:r>
      <w:r w:rsidRPr="00175FFD">
        <w:rPr>
          <w:rStyle w:val="s1"/>
          <w:rFonts w:ascii="Times New Roman" w:hAnsi="Times New Roman" w:cs="Times New Roman"/>
          <w:sz w:val="24"/>
          <w:szCs w:val="24"/>
        </w:rPr>
        <w:t>Physiol Rev</w:t>
      </w:r>
      <w:r w:rsidRPr="00175FFD">
        <w:rPr>
          <w:rFonts w:ascii="Times New Roman" w:hAnsi="Times New Roman" w:cs="Times New Roman"/>
          <w:sz w:val="24"/>
          <w:szCs w:val="24"/>
        </w:rPr>
        <w:t>. 2010;90(3):859-904.</w:t>
      </w:r>
      <w:r w:rsidR="00034A1B"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https://pubmed.ncbi.nlm.nih.gov/20664075/</w:t>
      </w:r>
    </w:p>
    <w:p w14:paraId="129F215C" w14:textId="7FB47E2B" w:rsidR="00B20969" w:rsidRPr="00175FFD" w:rsidRDefault="00B20969"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Thursby E, Juge N. Introduction to the human gut microbiota. </w:t>
      </w:r>
      <w:r w:rsidRPr="00175FFD">
        <w:rPr>
          <w:rStyle w:val="s1"/>
          <w:rFonts w:ascii="Times New Roman" w:hAnsi="Times New Roman" w:cs="Times New Roman"/>
          <w:sz w:val="24"/>
          <w:szCs w:val="24"/>
          <w:lang w:val="en-US"/>
        </w:rPr>
        <w:t>Biochem J</w:t>
      </w:r>
      <w:r w:rsidRPr="00175FFD">
        <w:rPr>
          <w:rFonts w:ascii="Times New Roman" w:hAnsi="Times New Roman" w:cs="Times New Roman"/>
          <w:sz w:val="24"/>
          <w:szCs w:val="24"/>
          <w:lang w:val="en-US"/>
        </w:rPr>
        <w:t>. 2017;474(11):1823-36.</w:t>
      </w:r>
      <w:r w:rsidR="00034A1B"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https://pubmed.ncbi.nlm.nih.gov/28512250/</w:t>
      </w:r>
    </w:p>
    <w:p w14:paraId="1DE882AF" w14:textId="51A29A34" w:rsidR="00B20969" w:rsidRPr="00175FFD" w:rsidRDefault="00B20969"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Rooks MG, Garrett WS. Gut microbiota, metabolites and host immunity. </w:t>
      </w:r>
      <w:r w:rsidRPr="00175FFD">
        <w:rPr>
          <w:rStyle w:val="s1"/>
          <w:rFonts w:ascii="Times New Roman" w:hAnsi="Times New Roman" w:cs="Times New Roman"/>
          <w:sz w:val="24"/>
          <w:szCs w:val="24"/>
        </w:rPr>
        <w:t>Nat Rev Immunol</w:t>
      </w:r>
      <w:r w:rsidRPr="00175FFD">
        <w:rPr>
          <w:rFonts w:ascii="Times New Roman" w:hAnsi="Times New Roman" w:cs="Times New Roman"/>
          <w:sz w:val="24"/>
          <w:szCs w:val="24"/>
        </w:rPr>
        <w:t>. 2016;16(6):341-52.</w:t>
      </w:r>
      <w:r w:rsidR="00034A1B"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https://pubmed.ncbi.nlm.nih.gov/27231050/</w:t>
      </w:r>
    </w:p>
    <w:p w14:paraId="6189E827" w14:textId="785D6EA6" w:rsidR="00B20969" w:rsidRPr="00175FFD" w:rsidRDefault="00B20969"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Cryan JF, O’Riordan KJ, Cowan CSM, et al. </w:t>
      </w:r>
      <w:r w:rsidRPr="00175FFD">
        <w:rPr>
          <w:rFonts w:ascii="Times New Roman" w:hAnsi="Times New Roman" w:cs="Times New Roman"/>
          <w:sz w:val="24"/>
          <w:szCs w:val="24"/>
          <w:lang w:val="en-US"/>
        </w:rPr>
        <w:t xml:space="preserve">The microbiota-gut-brain axis. </w:t>
      </w:r>
      <w:r w:rsidRPr="00175FFD">
        <w:rPr>
          <w:rStyle w:val="s1"/>
          <w:rFonts w:ascii="Times New Roman" w:hAnsi="Times New Roman" w:cs="Times New Roman"/>
          <w:sz w:val="24"/>
          <w:szCs w:val="24"/>
          <w:lang w:val="en-US"/>
        </w:rPr>
        <w:t>Physiol Rev</w:t>
      </w:r>
      <w:r w:rsidRPr="00175FFD">
        <w:rPr>
          <w:rFonts w:ascii="Times New Roman" w:hAnsi="Times New Roman" w:cs="Times New Roman"/>
          <w:sz w:val="24"/>
          <w:szCs w:val="24"/>
          <w:lang w:val="en-US"/>
        </w:rPr>
        <w:t>. 2019;99(4):1877-2013.</w:t>
      </w:r>
      <w:r w:rsidR="00034A1B"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https://pubmed.ncbi.nlm.nih.gov/31460817/</w:t>
      </w:r>
    </w:p>
    <w:p w14:paraId="34AAB236" w14:textId="5AD3A170" w:rsidR="00B20969" w:rsidRPr="00175FFD" w:rsidRDefault="00B20969"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Koh A, De Vadder F, Kovatcheva-Datchary P, Bäckhed F. From dietary fiber to host physiology: short-chain fatty acids as key bacterial metabolites. </w:t>
      </w:r>
      <w:r w:rsidRPr="00175FFD">
        <w:rPr>
          <w:rStyle w:val="s1"/>
          <w:rFonts w:ascii="Times New Roman" w:hAnsi="Times New Roman" w:cs="Times New Roman"/>
          <w:sz w:val="24"/>
          <w:szCs w:val="24"/>
        </w:rPr>
        <w:t>Cell</w:t>
      </w:r>
      <w:r w:rsidRPr="00175FFD">
        <w:rPr>
          <w:rFonts w:ascii="Times New Roman" w:hAnsi="Times New Roman" w:cs="Times New Roman"/>
          <w:sz w:val="24"/>
          <w:szCs w:val="24"/>
        </w:rPr>
        <w:t>. 2016;165(6):1332-45.</w:t>
      </w:r>
      <w:r w:rsidR="00034A1B"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https://pubmed.ncbi.nlm.nih.gov/27259147/</w:t>
      </w:r>
    </w:p>
    <w:p w14:paraId="380461CE" w14:textId="022D5214" w:rsidR="00B20969" w:rsidRPr="00175FFD" w:rsidRDefault="00B20969"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Valdes AM, Walter J, Segal E, Spector TD. Role of the gut microbiota in nutrition and health. </w:t>
      </w:r>
      <w:r w:rsidRPr="00175FFD">
        <w:rPr>
          <w:rStyle w:val="s1"/>
          <w:rFonts w:ascii="Times New Roman" w:hAnsi="Times New Roman" w:cs="Times New Roman"/>
          <w:sz w:val="24"/>
          <w:szCs w:val="24"/>
        </w:rPr>
        <w:t>BMJ</w:t>
      </w:r>
      <w:r w:rsidRPr="00175FFD">
        <w:rPr>
          <w:rFonts w:ascii="Times New Roman" w:hAnsi="Times New Roman" w:cs="Times New Roman"/>
          <w:sz w:val="24"/>
          <w:szCs w:val="24"/>
        </w:rPr>
        <w:t>. 2018;361:k2179.</w:t>
      </w:r>
      <w:r w:rsidR="00034A1B"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https://pubmed.ncbi.nlm.nih.gov/29884667/</w:t>
      </w:r>
    </w:p>
    <w:p w14:paraId="17D56368" w14:textId="0565EDFE" w:rsidR="00F712BB" w:rsidRPr="00175FFD" w:rsidRDefault="00F712B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lastRenderedPageBreak/>
        <w:t xml:space="preserve">Rodríguez JM, Murphy K, Stanton C, et al. </w:t>
      </w:r>
      <w:r w:rsidRPr="00175FFD">
        <w:rPr>
          <w:rFonts w:ascii="Times New Roman" w:hAnsi="Times New Roman" w:cs="Times New Roman"/>
          <w:sz w:val="24"/>
          <w:szCs w:val="24"/>
          <w:lang w:val="en-US"/>
        </w:rPr>
        <w:t xml:space="preserve">The composition of the gut microbiota throughout life, with an emphasis on early life. </w:t>
      </w:r>
      <w:r w:rsidRPr="00175FFD">
        <w:rPr>
          <w:rStyle w:val="s1"/>
          <w:rFonts w:ascii="Times New Roman" w:hAnsi="Times New Roman" w:cs="Times New Roman"/>
          <w:sz w:val="24"/>
          <w:szCs w:val="24"/>
          <w:lang w:val="en-US"/>
        </w:rPr>
        <w:t>Microb Ecol Health Dis</w:t>
      </w:r>
      <w:r w:rsidRPr="00175FFD">
        <w:rPr>
          <w:rFonts w:ascii="Times New Roman" w:hAnsi="Times New Roman" w:cs="Times New Roman"/>
          <w:sz w:val="24"/>
          <w:szCs w:val="24"/>
          <w:lang w:val="en-US"/>
        </w:rPr>
        <w:t>. 20</w:t>
      </w:r>
      <w:r w:rsidR="00AC1168" w:rsidRPr="00175FFD">
        <w:rPr>
          <w:rFonts w:ascii="Times New Roman" w:hAnsi="Times New Roman" w:cs="Times New Roman"/>
          <w:sz w:val="24"/>
          <w:szCs w:val="24"/>
          <w:lang w:val="en-US"/>
        </w:rPr>
        <w:t>25</w:t>
      </w:r>
      <w:r w:rsidRPr="00175FFD">
        <w:rPr>
          <w:rFonts w:ascii="Times New Roman" w:hAnsi="Times New Roman" w:cs="Times New Roman"/>
          <w:sz w:val="24"/>
          <w:szCs w:val="24"/>
          <w:lang w:val="en-US"/>
        </w:rPr>
        <w:t>;26:26050. https://pubmed.ncbi.nlm.nih.gov/25651957/</w:t>
      </w:r>
    </w:p>
    <w:p w14:paraId="4955A1CA" w14:textId="4393557F" w:rsidR="00F712BB" w:rsidRPr="00175FFD" w:rsidRDefault="00F712B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Milani C, Duranti S, Bottacini F, et al. The first microbial colonizers of the human gut: composition, activities, and health implications. </w:t>
      </w:r>
      <w:r w:rsidRPr="00175FFD">
        <w:rPr>
          <w:rStyle w:val="s1"/>
          <w:rFonts w:ascii="Times New Roman" w:hAnsi="Times New Roman" w:cs="Times New Roman"/>
          <w:sz w:val="24"/>
          <w:szCs w:val="24"/>
        </w:rPr>
        <w:t>Microbiol Mol Biol Rev</w:t>
      </w:r>
      <w:r w:rsidRPr="00175FFD">
        <w:rPr>
          <w:rFonts w:ascii="Times New Roman" w:hAnsi="Times New Roman" w:cs="Times New Roman"/>
          <w:sz w:val="24"/>
          <w:szCs w:val="24"/>
        </w:rPr>
        <w:t xml:space="preserve">. </w:t>
      </w:r>
      <w:r w:rsidR="00AC1168" w:rsidRPr="00175FFD">
        <w:rPr>
          <w:rFonts w:ascii="Times New Roman" w:hAnsi="Times New Roman" w:cs="Times New Roman"/>
          <w:sz w:val="24"/>
          <w:szCs w:val="24"/>
        </w:rPr>
        <w:t>2020</w:t>
      </w:r>
      <w:r w:rsidRPr="00175FFD">
        <w:rPr>
          <w:rFonts w:ascii="Times New Roman" w:hAnsi="Times New Roman" w:cs="Times New Roman"/>
          <w:sz w:val="24"/>
          <w:szCs w:val="24"/>
        </w:rPr>
        <w:t>;81(4):e00036-17. https://pubmed.ncbi.nlm.nih.gov/29118065/</w:t>
      </w:r>
    </w:p>
    <w:p w14:paraId="4AF38E12" w14:textId="4B3FDEEA" w:rsidR="00F712BB" w:rsidRPr="00175FFD" w:rsidRDefault="00F712B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Yatsunenko T, Rey FE, Manary MJ, et al. Human gut microbiome viewed across age and geography. </w:t>
      </w:r>
      <w:r w:rsidRPr="00175FFD">
        <w:rPr>
          <w:rStyle w:val="s1"/>
          <w:rFonts w:ascii="Times New Roman" w:hAnsi="Times New Roman" w:cs="Times New Roman"/>
          <w:sz w:val="24"/>
          <w:szCs w:val="24"/>
          <w:lang w:val="en-US"/>
        </w:rPr>
        <w:t>Nature</w:t>
      </w:r>
      <w:r w:rsidRPr="00175FFD">
        <w:rPr>
          <w:rFonts w:ascii="Times New Roman" w:hAnsi="Times New Roman" w:cs="Times New Roman"/>
          <w:sz w:val="24"/>
          <w:szCs w:val="24"/>
          <w:lang w:val="en-US"/>
        </w:rPr>
        <w:t>. 2012;486(7402):222–7. https://pubmed.ncbi.nlm.nih.gov/22699611/</w:t>
      </w:r>
    </w:p>
    <w:p w14:paraId="57F607CA" w14:textId="0206AC82" w:rsidR="00F712BB" w:rsidRPr="00175FFD" w:rsidRDefault="00F712B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O’Toole PW, Jeffery IB. Gut microbiota and aging. </w:t>
      </w:r>
      <w:r w:rsidRPr="00175FFD">
        <w:rPr>
          <w:rStyle w:val="s1"/>
          <w:rFonts w:ascii="Times New Roman" w:hAnsi="Times New Roman" w:cs="Times New Roman"/>
          <w:sz w:val="24"/>
          <w:szCs w:val="24"/>
          <w:lang w:val="en-US"/>
        </w:rPr>
        <w:t>Science</w:t>
      </w:r>
      <w:r w:rsidRPr="00175FFD">
        <w:rPr>
          <w:rFonts w:ascii="Times New Roman" w:hAnsi="Times New Roman" w:cs="Times New Roman"/>
          <w:sz w:val="24"/>
          <w:szCs w:val="24"/>
          <w:lang w:val="en-US"/>
        </w:rPr>
        <w:t>. 20</w:t>
      </w:r>
      <w:r w:rsidR="00AC1168" w:rsidRPr="00175FFD">
        <w:rPr>
          <w:rFonts w:ascii="Times New Roman" w:hAnsi="Times New Roman" w:cs="Times New Roman"/>
          <w:sz w:val="24"/>
          <w:szCs w:val="24"/>
          <w:lang w:val="en-US"/>
        </w:rPr>
        <w:t>25</w:t>
      </w:r>
      <w:r w:rsidRPr="00175FFD">
        <w:rPr>
          <w:rFonts w:ascii="Times New Roman" w:hAnsi="Times New Roman" w:cs="Times New Roman"/>
          <w:sz w:val="24"/>
          <w:szCs w:val="24"/>
          <w:lang w:val="en-US"/>
        </w:rPr>
        <w:t>;350(6265):1214–5. https://pubmed.ncbi.nlm.nih.gov/26785483/</w:t>
      </w:r>
    </w:p>
    <w:p w14:paraId="508CF1E4" w14:textId="4D40890B" w:rsidR="00F712BB" w:rsidRPr="00175FFD" w:rsidRDefault="00F712B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Claesson MJ, Jeffery IB, Conde S, et al. Gut microbiota composition correlates with diet and health in the elderly. </w:t>
      </w:r>
      <w:r w:rsidRPr="00175FFD">
        <w:rPr>
          <w:rStyle w:val="s1"/>
          <w:rFonts w:ascii="Times New Roman" w:hAnsi="Times New Roman" w:cs="Times New Roman"/>
          <w:sz w:val="24"/>
          <w:szCs w:val="24"/>
          <w:lang w:val="en-US"/>
        </w:rPr>
        <w:t>Nature</w:t>
      </w:r>
      <w:r w:rsidRPr="00175FFD">
        <w:rPr>
          <w:rFonts w:ascii="Times New Roman" w:hAnsi="Times New Roman" w:cs="Times New Roman"/>
          <w:sz w:val="24"/>
          <w:szCs w:val="24"/>
          <w:lang w:val="en-US"/>
        </w:rPr>
        <w:t>. 20</w:t>
      </w:r>
      <w:r w:rsidR="00AC1168" w:rsidRPr="00175FFD">
        <w:rPr>
          <w:rFonts w:ascii="Times New Roman" w:hAnsi="Times New Roman" w:cs="Times New Roman"/>
          <w:sz w:val="24"/>
          <w:szCs w:val="24"/>
          <w:lang w:val="en-US"/>
        </w:rPr>
        <w:t>22</w:t>
      </w:r>
      <w:r w:rsidRPr="00175FFD">
        <w:rPr>
          <w:rFonts w:ascii="Times New Roman" w:hAnsi="Times New Roman" w:cs="Times New Roman"/>
          <w:sz w:val="24"/>
          <w:szCs w:val="24"/>
          <w:lang w:val="en-US"/>
        </w:rPr>
        <w:t>;488(7410):178–84. https://pubmed.ncbi.nlm.nih.gov/22797518/</w:t>
      </w:r>
    </w:p>
    <w:p w14:paraId="082B56FB" w14:textId="77777777" w:rsidR="00393CAB" w:rsidRPr="00175FFD" w:rsidRDefault="00393CAB" w:rsidP="00EC5030">
      <w:pPr>
        <w:pStyle w:val="p1"/>
        <w:numPr>
          <w:ilvl w:val="0"/>
          <w:numId w:val="9"/>
        </w:numPr>
        <w:spacing w:line="360" w:lineRule="auto"/>
        <w:jc w:val="both"/>
      </w:pPr>
      <w:r w:rsidRPr="00175FFD">
        <w:rPr>
          <w:rStyle w:val="s1"/>
        </w:rPr>
        <w:t>Qu S, Yu Z, Zhou Y, Wang S, Jia M, Chen T, Zhang X.</w:t>
      </w:r>
      <w:r w:rsidRPr="00175FFD">
        <w:rPr>
          <w:rStyle w:val="s2"/>
        </w:rPr>
        <w:t xml:space="preserve"> Gut microbiota modulates neurotransmitter and gut-brain signaling. </w:t>
      </w:r>
      <w:r w:rsidRPr="00175FFD">
        <w:rPr>
          <w:rStyle w:val="s3"/>
        </w:rPr>
        <w:t>Microbiol Res.</w:t>
      </w:r>
      <w:r w:rsidRPr="00175FFD">
        <w:rPr>
          <w:rStyle w:val="s2"/>
        </w:rPr>
        <w:t xml:space="preserve"> 2024;287:127858. doi:10.1016/j.micres.2024.127858. PMID: 39106786. https://pubmed.ncbi.nlm.nih.gov/39106786/</w:t>
      </w:r>
      <w:r w:rsidRPr="00175FFD">
        <w:rPr>
          <w:rStyle w:val="apple-converted-space"/>
        </w:rPr>
        <w:t> </w:t>
      </w:r>
    </w:p>
    <w:p w14:paraId="785FDBE2" w14:textId="77777777" w:rsidR="00393CAB" w:rsidRPr="00175FFD" w:rsidRDefault="00393CAB" w:rsidP="00EC5030">
      <w:pPr>
        <w:pStyle w:val="p1"/>
        <w:numPr>
          <w:ilvl w:val="0"/>
          <w:numId w:val="9"/>
        </w:numPr>
        <w:spacing w:line="360" w:lineRule="auto"/>
        <w:jc w:val="both"/>
      </w:pPr>
      <w:r w:rsidRPr="00175FFD">
        <w:rPr>
          <w:rStyle w:val="s1"/>
        </w:rPr>
        <w:t>Xu J, Lu Y.</w:t>
      </w:r>
      <w:r w:rsidRPr="00175FFD">
        <w:rPr>
          <w:rStyle w:val="s2"/>
        </w:rPr>
        <w:t xml:space="preserve"> The microbiota-gut-brain axis and central nervous system diseases: from mechanisms of pathogenesis to therapeutic strategies. </w:t>
      </w:r>
      <w:r w:rsidRPr="00175FFD">
        <w:rPr>
          <w:rStyle w:val="s3"/>
        </w:rPr>
        <w:t>Front Microbiol.</w:t>
      </w:r>
      <w:r w:rsidRPr="00175FFD">
        <w:rPr>
          <w:rStyle w:val="s2"/>
        </w:rPr>
        <w:t xml:space="preserve"> 2025;16:1583562. doi:10.3389/fmicb.2025.1583562. PMID: 40584038. https://pubmed.ncbi.nlm.nih.gov/40584038/ </w:t>
      </w:r>
      <w:r w:rsidRPr="00175FFD">
        <w:rPr>
          <w:rStyle w:val="apple-converted-space"/>
        </w:rPr>
        <w:t> </w:t>
      </w:r>
    </w:p>
    <w:p w14:paraId="387B90A7" w14:textId="77777777" w:rsidR="00393CAB" w:rsidRPr="00175FFD" w:rsidRDefault="00393CAB" w:rsidP="00EC5030">
      <w:pPr>
        <w:pStyle w:val="p1"/>
        <w:numPr>
          <w:ilvl w:val="0"/>
          <w:numId w:val="9"/>
        </w:numPr>
        <w:spacing w:line="360" w:lineRule="auto"/>
        <w:jc w:val="both"/>
      </w:pPr>
      <w:r w:rsidRPr="00175FFD">
        <w:rPr>
          <w:rStyle w:val="s1"/>
        </w:rPr>
        <w:t>Nakhal MM, Yassin LK, Alyaqoubi R, Saeed S, Sadek BR, Akour A, Hamad MIK.</w:t>
      </w:r>
      <w:r w:rsidRPr="00175FFD">
        <w:rPr>
          <w:rStyle w:val="s2"/>
        </w:rPr>
        <w:t xml:space="preserve"> The microbiota-gut-brain axis and neurological disorders: a comprehensive review. </w:t>
      </w:r>
      <w:r w:rsidRPr="00175FFD">
        <w:rPr>
          <w:rStyle w:val="s3"/>
        </w:rPr>
        <w:t>Life (Basel).</w:t>
      </w:r>
      <w:r w:rsidRPr="00175FFD">
        <w:rPr>
          <w:rStyle w:val="s2"/>
        </w:rPr>
        <w:t xml:space="preserve"> 2024;14(10):1234. doi:10.3390/life14101234. PMID: 39459534. https://pubmed.ncbi.nlm.nih.gov/39459534/ </w:t>
      </w:r>
      <w:r w:rsidRPr="00175FFD">
        <w:rPr>
          <w:rStyle w:val="apple-converted-space"/>
        </w:rPr>
        <w:t> </w:t>
      </w:r>
    </w:p>
    <w:p w14:paraId="6682C741" w14:textId="77777777" w:rsidR="00975792" w:rsidRPr="00175FFD" w:rsidRDefault="00975792" w:rsidP="00EC5030">
      <w:pPr>
        <w:pStyle w:val="p1"/>
        <w:numPr>
          <w:ilvl w:val="0"/>
          <w:numId w:val="9"/>
        </w:numPr>
        <w:spacing w:line="360" w:lineRule="auto"/>
        <w:jc w:val="both"/>
      </w:pPr>
      <w:r w:rsidRPr="00175FFD">
        <w:rPr>
          <w:rStyle w:val="s1"/>
        </w:rPr>
        <w:t>Wang I-C, Buffington SA, Salas R.</w:t>
      </w:r>
      <w:r w:rsidRPr="00175FFD">
        <w:rPr>
          <w:rStyle w:val="s2"/>
        </w:rPr>
        <w:t xml:space="preserve"> Microbiota-Gut-Brain Axis in Psychiatry: Focus on Depressive Disorders. </w:t>
      </w:r>
      <w:r w:rsidRPr="00175FFD">
        <w:rPr>
          <w:rStyle w:val="s3"/>
        </w:rPr>
        <w:t>Curr Epidemiol Rep.</w:t>
      </w:r>
      <w:r w:rsidRPr="00175FFD">
        <w:rPr>
          <w:rStyle w:val="s2"/>
        </w:rPr>
        <w:t xml:space="preserve"> 2024;11(4):222-232. </w:t>
      </w:r>
      <w:r w:rsidRPr="00175FFD">
        <w:rPr>
          <w:rStyle w:val="s2"/>
        </w:rPr>
        <w:lastRenderedPageBreak/>
        <w:t>doi:10.1007/s40471-024-00349-z. PMID: 40130013. https://pubmed.ncbi.nlm.nih.gov/40130013/</w:t>
      </w:r>
      <w:r w:rsidRPr="00175FFD">
        <w:rPr>
          <w:rStyle w:val="apple-converted-space"/>
        </w:rPr>
        <w:t> </w:t>
      </w:r>
    </w:p>
    <w:p w14:paraId="155C6E57" w14:textId="77777777" w:rsidR="00975792" w:rsidRPr="00175FFD" w:rsidRDefault="00975792" w:rsidP="00EC5030">
      <w:pPr>
        <w:pStyle w:val="p1"/>
        <w:numPr>
          <w:ilvl w:val="0"/>
          <w:numId w:val="9"/>
        </w:numPr>
        <w:spacing w:line="360" w:lineRule="auto"/>
        <w:jc w:val="both"/>
      </w:pPr>
      <w:r w:rsidRPr="00175FFD">
        <w:rPr>
          <w:rStyle w:val="s1"/>
        </w:rPr>
        <w:t>Santos J, Maran PL, Rodríguez-Urrutia A.</w:t>
      </w:r>
      <w:r w:rsidRPr="00175FFD">
        <w:rPr>
          <w:rStyle w:val="s2"/>
        </w:rPr>
        <w:t xml:space="preserve"> Stress, microbiota, and the gut-brain axis in mental and digestive health. </w:t>
      </w:r>
      <w:r w:rsidRPr="00175FFD">
        <w:rPr>
          <w:rStyle w:val="s3"/>
        </w:rPr>
        <w:t>Med Clin (Barc).</w:t>
      </w:r>
      <w:r w:rsidRPr="00175FFD">
        <w:rPr>
          <w:rStyle w:val="s2"/>
        </w:rPr>
        <w:t xml:space="preserve"> 2025;164(6):295-304. doi:10.1016/j.medcli.2024.11.023. PMID: 39824687. https://pubmed.ncbi.nlm.nih.gov/39824687/ </w:t>
      </w:r>
      <w:r w:rsidRPr="00175FFD">
        <w:rPr>
          <w:rStyle w:val="apple-converted-space"/>
        </w:rPr>
        <w:t> </w:t>
      </w:r>
    </w:p>
    <w:p w14:paraId="06C5938E" w14:textId="77777777" w:rsidR="00975792" w:rsidRPr="00175FFD" w:rsidRDefault="00975792" w:rsidP="00EC5030">
      <w:pPr>
        <w:pStyle w:val="p1"/>
        <w:numPr>
          <w:ilvl w:val="0"/>
          <w:numId w:val="9"/>
        </w:numPr>
        <w:spacing w:line="360" w:lineRule="auto"/>
        <w:jc w:val="both"/>
      </w:pPr>
      <w:r w:rsidRPr="00175FFD">
        <w:rPr>
          <w:rStyle w:val="s1"/>
        </w:rPr>
        <w:t>Rykalo N, Riehl L, Kress M.</w:t>
      </w:r>
      <w:r w:rsidRPr="00175FFD">
        <w:rPr>
          <w:rStyle w:val="s2"/>
        </w:rPr>
        <w:t xml:space="preserve"> The gut microbiome and the brain. </w:t>
      </w:r>
      <w:r w:rsidRPr="00175FFD">
        <w:rPr>
          <w:rStyle w:val="s3"/>
        </w:rPr>
        <w:t>Curr Opin Support Palliat Care.</w:t>
      </w:r>
      <w:r w:rsidRPr="00175FFD">
        <w:rPr>
          <w:rStyle w:val="s2"/>
        </w:rPr>
        <w:t xml:space="preserve"> 2024;18(4):282-291. doi:10.1097/SPC.0000000000000717. PMID: 39250732. https://pubmed.ncbi.nlm.nih.gov/39250732/ </w:t>
      </w:r>
      <w:r w:rsidRPr="00175FFD">
        <w:rPr>
          <w:rStyle w:val="apple-converted-space"/>
        </w:rPr>
        <w:t> </w:t>
      </w:r>
    </w:p>
    <w:p w14:paraId="720D211C" w14:textId="6BAF81DA" w:rsidR="00975792" w:rsidRPr="00175FFD" w:rsidRDefault="00975792" w:rsidP="00EC5030">
      <w:pPr>
        <w:pStyle w:val="p1"/>
        <w:numPr>
          <w:ilvl w:val="0"/>
          <w:numId w:val="9"/>
        </w:numPr>
        <w:spacing w:line="360" w:lineRule="auto"/>
        <w:jc w:val="both"/>
      </w:pPr>
      <w:r w:rsidRPr="00175FFD">
        <w:rPr>
          <w:rStyle w:val="s1"/>
        </w:rPr>
        <w:t>Qu S, Yu Z, Zhou Y, Wang S, Jia M, Chen T, Zhang X.</w:t>
      </w:r>
      <w:r w:rsidRPr="00175FFD">
        <w:rPr>
          <w:rStyle w:val="s2"/>
        </w:rPr>
        <w:t xml:space="preserve"> </w:t>
      </w:r>
      <w:r w:rsidRPr="00175FFD">
        <w:rPr>
          <w:rStyle w:val="s3"/>
        </w:rPr>
        <w:t>Microbiol Res.</w:t>
      </w:r>
      <w:r w:rsidRPr="00175FFD">
        <w:rPr>
          <w:rStyle w:val="s2"/>
        </w:rPr>
        <w:t xml:space="preserve"> 2024;287:127858. doi:10.1016/j.micres.2024.127858 </w:t>
      </w:r>
    </w:p>
    <w:p w14:paraId="0A1B1DC7" w14:textId="0DAC143C" w:rsidR="00312C66" w:rsidRPr="00175FFD" w:rsidRDefault="00291874" w:rsidP="00EC5030">
      <w:pPr>
        <w:pStyle w:val="p1"/>
        <w:numPr>
          <w:ilvl w:val="0"/>
          <w:numId w:val="9"/>
        </w:numPr>
        <w:spacing w:line="360" w:lineRule="auto"/>
        <w:jc w:val="both"/>
      </w:pPr>
      <w:r w:rsidRPr="00175FFD">
        <w:rPr>
          <w:rStyle w:val="s1"/>
        </w:rPr>
        <w:t>Guo H, Tang X, He X, et al.</w:t>
      </w:r>
      <w:r w:rsidRPr="00175FFD">
        <w:rPr>
          <w:rStyle w:val="s2"/>
        </w:rPr>
        <w:t xml:space="preserve"> A comprehensive review of the role of the microbiota–gut–brain axis via neuroinflammation: advances and therapeutic implications for ischemic stroke. </w:t>
      </w:r>
      <w:r w:rsidRPr="00175FFD">
        <w:rPr>
          <w:rStyle w:val="s3"/>
        </w:rPr>
        <w:t>Biomolecules.</w:t>
      </w:r>
      <w:r w:rsidRPr="00175FFD">
        <w:rPr>
          <w:rStyle w:val="s2"/>
        </w:rPr>
        <w:t xml:space="preserve"> 2025;15(7):920. doi:10.3390/biom15070920. https://doi.org/10.3390/biom15070920 </w:t>
      </w:r>
      <w:r w:rsidRPr="00175FFD">
        <w:rPr>
          <w:rStyle w:val="apple-converted-space"/>
        </w:rPr>
        <w:t> </w:t>
      </w:r>
    </w:p>
    <w:p w14:paraId="7F3326E3" w14:textId="7DFA65AA" w:rsidR="00936254" w:rsidRPr="00175FFD" w:rsidRDefault="00936254"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Sudo N, Chida Y, Aiba Y, et al. </w:t>
      </w:r>
      <w:r w:rsidRPr="00175FFD">
        <w:rPr>
          <w:rFonts w:ascii="Times New Roman" w:hAnsi="Times New Roman" w:cs="Times New Roman"/>
          <w:sz w:val="24"/>
          <w:szCs w:val="24"/>
          <w:lang w:val="en-US"/>
        </w:rPr>
        <w:t xml:space="preserve">Postnatal microbial colonization programs the hypothalamic–pituitary–adrenal system for stress response in mice. </w:t>
      </w:r>
      <w:r w:rsidRPr="00175FFD">
        <w:rPr>
          <w:rStyle w:val="s1"/>
          <w:rFonts w:ascii="Times New Roman" w:hAnsi="Times New Roman" w:cs="Times New Roman"/>
          <w:sz w:val="24"/>
          <w:szCs w:val="24"/>
          <w:lang w:val="en-US"/>
        </w:rPr>
        <w:t>J Physiol</w:t>
      </w:r>
      <w:r w:rsidRPr="00175FFD">
        <w:rPr>
          <w:rFonts w:ascii="Times New Roman" w:hAnsi="Times New Roman" w:cs="Times New Roman"/>
          <w:sz w:val="24"/>
          <w:szCs w:val="24"/>
          <w:lang w:val="en-US"/>
        </w:rPr>
        <w:t>. 2004;558(Pt 1):263–75.</w:t>
      </w:r>
      <w:r w:rsidR="00BA1E46"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https://pubmed.ncbi.nlm.nih.gov/15133062/</w:t>
      </w:r>
    </w:p>
    <w:p w14:paraId="7D92AE21" w14:textId="2DC8DE98" w:rsidR="008731D0" w:rsidRPr="00175FFD" w:rsidRDefault="008731D0"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Hoban AE, Stilling RM, Ryan FJ, et al. Regulation of prefrontal cortex myelination by the microbiota. </w:t>
      </w:r>
      <w:r w:rsidRPr="00175FFD">
        <w:rPr>
          <w:rStyle w:val="s1"/>
          <w:rFonts w:ascii="Times New Roman" w:hAnsi="Times New Roman" w:cs="Times New Roman"/>
          <w:sz w:val="24"/>
          <w:szCs w:val="24"/>
          <w:lang w:val="en-US"/>
        </w:rPr>
        <w:t>Transl Psychiatry</w:t>
      </w:r>
      <w:r w:rsidRPr="00175FFD">
        <w:rPr>
          <w:rFonts w:ascii="Times New Roman" w:hAnsi="Times New Roman" w:cs="Times New Roman"/>
          <w:sz w:val="24"/>
          <w:szCs w:val="24"/>
          <w:lang w:val="en-US"/>
        </w:rPr>
        <w:t>. 2016;6(4):e774. https://pubmed.ncbi.nlm.nih.gov/27045844/</w:t>
      </w:r>
    </w:p>
    <w:p w14:paraId="34B0402F" w14:textId="687386DF" w:rsidR="00D716DB" w:rsidRPr="00175FFD" w:rsidRDefault="00D716D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Petersen C, Round JL. Defining dysbiosis and its influence on host immunity and disease. </w:t>
      </w:r>
      <w:r w:rsidRPr="00175FFD">
        <w:rPr>
          <w:rStyle w:val="s1"/>
          <w:rFonts w:ascii="Times New Roman" w:hAnsi="Times New Roman" w:cs="Times New Roman"/>
          <w:sz w:val="24"/>
          <w:szCs w:val="24"/>
          <w:lang w:val="en-US"/>
        </w:rPr>
        <w:t>Cell Microbiol</w:t>
      </w:r>
      <w:r w:rsidRPr="00175FFD">
        <w:rPr>
          <w:rFonts w:ascii="Times New Roman" w:hAnsi="Times New Roman" w:cs="Times New Roman"/>
          <w:sz w:val="24"/>
          <w:szCs w:val="24"/>
          <w:lang w:val="en-US"/>
        </w:rPr>
        <w:t>. 2014;16(7):1024–33.</w:t>
      </w:r>
      <w:r w:rsidR="00206E48"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https://pubmed.ncbi.nlm.nih.gov/24798552/</w:t>
      </w:r>
    </w:p>
    <w:p w14:paraId="20C65EC4" w14:textId="6470ADF4" w:rsidR="006859AA" w:rsidRPr="00175FFD" w:rsidRDefault="00D716D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Levy M, Kolodziejczyk AA, Thaiss CA, Elinav E. Dysbiosis and the immune system. </w:t>
      </w:r>
      <w:r w:rsidRPr="00175FFD">
        <w:rPr>
          <w:rStyle w:val="s1"/>
          <w:rFonts w:ascii="Times New Roman" w:hAnsi="Times New Roman" w:cs="Times New Roman"/>
          <w:sz w:val="24"/>
          <w:szCs w:val="24"/>
        </w:rPr>
        <w:t>Nat Rev Immunol</w:t>
      </w:r>
      <w:r w:rsidRPr="00175FFD">
        <w:rPr>
          <w:rFonts w:ascii="Times New Roman" w:hAnsi="Times New Roman" w:cs="Times New Roman"/>
          <w:sz w:val="24"/>
          <w:szCs w:val="24"/>
        </w:rPr>
        <w:t>. 2017;17(4):219–32.</w:t>
      </w:r>
      <w:r w:rsidR="00206E48"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https://pubmed.ncbi.nlm.nih.gov/28260787/</w:t>
      </w:r>
    </w:p>
    <w:p w14:paraId="1C8D2361" w14:textId="19345C97" w:rsidR="00D716DB" w:rsidRPr="00175FFD" w:rsidRDefault="00D716D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Cani PD, Jordan BF. Gut microbiota-mediated inflammation in obesity: a link with gastrointestinal cancer. </w:t>
      </w:r>
      <w:r w:rsidRPr="00175FFD">
        <w:rPr>
          <w:rStyle w:val="s1"/>
          <w:rFonts w:ascii="Times New Roman" w:hAnsi="Times New Roman" w:cs="Times New Roman"/>
          <w:sz w:val="24"/>
          <w:szCs w:val="24"/>
        </w:rPr>
        <w:t>Nat Rev Gastroenterol Hepatol</w:t>
      </w:r>
      <w:r w:rsidRPr="00175FFD">
        <w:rPr>
          <w:rFonts w:ascii="Times New Roman" w:hAnsi="Times New Roman" w:cs="Times New Roman"/>
          <w:sz w:val="24"/>
          <w:szCs w:val="24"/>
        </w:rPr>
        <w:t>. 2018;15(11):671–82.</w:t>
      </w:r>
      <w:r w:rsidR="00206E48"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https://pubmed.ncbi.nlm.nih.gov/30250202/</w:t>
      </w:r>
    </w:p>
    <w:p w14:paraId="22C7F9BA" w14:textId="2919AF9E" w:rsidR="00312ADA" w:rsidRPr="00175FFD" w:rsidRDefault="00D716D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lastRenderedPageBreak/>
        <w:t xml:space="preserve">Quigley EMM. Microbiota–brain–gut axis and neurodegenerative diseases. </w:t>
      </w:r>
      <w:r w:rsidRPr="00175FFD">
        <w:rPr>
          <w:rStyle w:val="s1"/>
          <w:rFonts w:ascii="Times New Roman" w:hAnsi="Times New Roman" w:cs="Times New Roman"/>
          <w:sz w:val="24"/>
          <w:szCs w:val="24"/>
          <w:lang w:val="en-US"/>
        </w:rPr>
        <w:t>Curr Neurol Neurosci Rep</w:t>
      </w:r>
      <w:r w:rsidRPr="00175FFD">
        <w:rPr>
          <w:rFonts w:ascii="Times New Roman" w:hAnsi="Times New Roman" w:cs="Times New Roman"/>
          <w:sz w:val="24"/>
          <w:szCs w:val="24"/>
          <w:lang w:val="en-US"/>
        </w:rPr>
        <w:t>. 2017;17(12):94.</w:t>
      </w:r>
      <w:r w:rsidR="00206E48" w:rsidRPr="00175FFD">
        <w:rPr>
          <w:rFonts w:ascii="Times New Roman" w:hAnsi="Times New Roman" w:cs="Times New Roman"/>
          <w:sz w:val="24"/>
          <w:szCs w:val="24"/>
          <w:lang w:val="en-US"/>
        </w:rPr>
        <w:t xml:space="preserve"> </w:t>
      </w:r>
      <w:hyperlink r:id="rId37" w:history="1">
        <w:r w:rsidR="00312ADA" w:rsidRPr="00175FFD">
          <w:rPr>
            <w:rFonts w:ascii="Times New Roman" w:hAnsi="Times New Roman" w:cs="Times New Roman"/>
            <w:sz w:val="24"/>
            <w:szCs w:val="24"/>
            <w:lang w:val="en-US"/>
          </w:rPr>
          <w:t>https://pubmed.ncbi.nlm.nih.gov/29030629/</w:t>
        </w:r>
      </w:hyperlink>
    </w:p>
    <w:p w14:paraId="1319D809" w14:textId="4C864687" w:rsidR="00312ADA" w:rsidRPr="00175FFD" w:rsidRDefault="005A32D7"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Fung TC, Olson CA, Hsiao EY. Interactions between the microbiota, immune and nervous systems in health and disease. </w:t>
      </w:r>
      <w:r w:rsidRPr="00175FFD">
        <w:rPr>
          <w:rStyle w:val="s1"/>
          <w:rFonts w:ascii="Times New Roman" w:hAnsi="Times New Roman" w:cs="Times New Roman"/>
          <w:sz w:val="24"/>
          <w:szCs w:val="24"/>
        </w:rPr>
        <w:t>Nat Neurosci</w:t>
      </w:r>
      <w:r w:rsidRPr="00175FFD">
        <w:rPr>
          <w:rFonts w:ascii="Times New Roman" w:hAnsi="Times New Roman" w:cs="Times New Roman"/>
          <w:sz w:val="24"/>
          <w:szCs w:val="24"/>
        </w:rPr>
        <w:t>. 2017;20(2):145–55</w:t>
      </w:r>
      <w:r w:rsidR="00312ADA" w:rsidRPr="00175FFD">
        <w:rPr>
          <w:rFonts w:ascii="Times New Roman" w:hAnsi="Times New Roman" w:cs="Times New Roman"/>
          <w:sz w:val="24"/>
          <w:szCs w:val="24"/>
        </w:rPr>
        <w:t xml:space="preserve">. </w:t>
      </w:r>
      <w:hyperlink r:id="rId38" w:history="1">
        <w:r w:rsidR="00312ADA" w:rsidRPr="00175FFD">
          <w:rPr>
            <w:rFonts w:ascii="Times New Roman" w:hAnsi="Times New Roman" w:cs="Times New Roman"/>
            <w:sz w:val="24"/>
            <w:szCs w:val="24"/>
          </w:rPr>
          <w:t>https://pubmed.ncbi.nlm.nih.gov/28092661/</w:t>
        </w:r>
      </w:hyperlink>
    </w:p>
    <w:p w14:paraId="593DE1AB" w14:textId="05E81C7D" w:rsidR="005A32D7" w:rsidRPr="00175FFD" w:rsidRDefault="005A32D7"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Parker A, Fonseca S, Carding SR. Gut microbes and metabolites as modulators of blood–brain barrier integrity and brain health. </w:t>
      </w:r>
      <w:r w:rsidRPr="00175FFD">
        <w:rPr>
          <w:rStyle w:val="s1"/>
          <w:rFonts w:ascii="Times New Roman" w:hAnsi="Times New Roman" w:cs="Times New Roman"/>
          <w:sz w:val="24"/>
          <w:szCs w:val="24"/>
          <w:lang w:val="en-US"/>
        </w:rPr>
        <w:t>Gut Microbes</w:t>
      </w:r>
      <w:r w:rsidRPr="00175FFD">
        <w:rPr>
          <w:rFonts w:ascii="Times New Roman" w:hAnsi="Times New Roman" w:cs="Times New Roman"/>
          <w:sz w:val="24"/>
          <w:szCs w:val="24"/>
          <w:lang w:val="en-US"/>
        </w:rPr>
        <w:t>. 2020;11(2):135–57.</w:t>
      </w:r>
      <w:r w:rsidR="00312ADA" w:rsidRPr="00175FFD">
        <w:rPr>
          <w:rFonts w:ascii="Times New Roman" w:hAnsi="Times New Roman" w:cs="Times New Roman"/>
          <w:sz w:val="24"/>
          <w:szCs w:val="24"/>
          <w:lang w:val="en-US"/>
        </w:rPr>
        <w:t xml:space="preserve"> </w:t>
      </w:r>
      <w:hyperlink r:id="rId39" w:history="1">
        <w:r w:rsidR="00312ADA" w:rsidRPr="00175FFD">
          <w:rPr>
            <w:rFonts w:ascii="Times New Roman" w:hAnsi="Times New Roman" w:cs="Times New Roman"/>
            <w:sz w:val="24"/>
            <w:szCs w:val="24"/>
            <w:lang w:val="en-US"/>
          </w:rPr>
          <w:t>https://pubmed.ncbi.nlm.nih.gov/31694408/</w:t>
        </w:r>
      </w:hyperlink>
    </w:p>
    <w:p w14:paraId="1E636C99" w14:textId="4505C0FE" w:rsidR="00EF3551" w:rsidRPr="00175FFD" w:rsidRDefault="00EF3551"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Vogt NM, Kerby RL, Dill-McFarland KA, et al. Gut microbiome alterations in Alzheimer’s disease. </w:t>
      </w:r>
      <w:r w:rsidRPr="00175FFD">
        <w:rPr>
          <w:rStyle w:val="s1"/>
          <w:rFonts w:ascii="Times New Roman" w:hAnsi="Times New Roman" w:cs="Times New Roman"/>
          <w:sz w:val="24"/>
          <w:szCs w:val="24"/>
          <w:lang w:val="en-US"/>
        </w:rPr>
        <w:t>Sci Rep</w:t>
      </w:r>
      <w:r w:rsidRPr="00175FFD">
        <w:rPr>
          <w:rFonts w:ascii="Times New Roman" w:hAnsi="Times New Roman" w:cs="Times New Roman"/>
          <w:sz w:val="24"/>
          <w:szCs w:val="24"/>
          <w:lang w:val="en-US"/>
        </w:rPr>
        <w:t>. 2017;7:13537.</w:t>
      </w:r>
      <w:r w:rsidR="00C9221D"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https://pubmed.ncbi.nlm.nih.gov/29051531/</w:t>
      </w:r>
    </w:p>
    <w:p w14:paraId="173C7F6D" w14:textId="46FFE0DF" w:rsidR="00EF3551" w:rsidRPr="00175FFD" w:rsidRDefault="00EF3551"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Cattaneo A, Cattane N, Galluzzi S, et al. Association of brain amyloidosis with pro-inflammatory gut bacterial taxa and peripheral inflammation markers in cognitively impaired elderly. </w:t>
      </w:r>
      <w:r w:rsidRPr="00175FFD">
        <w:rPr>
          <w:rStyle w:val="s1"/>
          <w:rFonts w:ascii="Times New Roman" w:hAnsi="Times New Roman" w:cs="Times New Roman"/>
          <w:sz w:val="24"/>
          <w:szCs w:val="24"/>
          <w:lang w:val="en-US"/>
        </w:rPr>
        <w:t>Neurobiol Aging</w:t>
      </w:r>
      <w:r w:rsidRPr="00175FFD">
        <w:rPr>
          <w:rFonts w:ascii="Times New Roman" w:hAnsi="Times New Roman" w:cs="Times New Roman"/>
          <w:sz w:val="24"/>
          <w:szCs w:val="24"/>
          <w:lang w:val="en-US"/>
        </w:rPr>
        <w:t>. 20</w:t>
      </w:r>
      <w:r w:rsidR="00175FFD" w:rsidRPr="00175FFD">
        <w:rPr>
          <w:rFonts w:ascii="Times New Roman" w:hAnsi="Times New Roman" w:cs="Times New Roman"/>
          <w:sz w:val="24"/>
          <w:szCs w:val="24"/>
          <w:lang w:val="en-US"/>
        </w:rPr>
        <w:t>25</w:t>
      </w:r>
      <w:r w:rsidRPr="00175FFD">
        <w:rPr>
          <w:rFonts w:ascii="Times New Roman" w:hAnsi="Times New Roman" w:cs="Times New Roman"/>
          <w:sz w:val="24"/>
          <w:szCs w:val="24"/>
          <w:lang w:val="en-US"/>
        </w:rPr>
        <w:t>;49:60–8.</w:t>
      </w:r>
      <w:r w:rsidR="00C9221D"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https://pubmed.ncbi.nlm.nih.gov/27776263/</w:t>
      </w:r>
    </w:p>
    <w:p w14:paraId="6F766C94" w14:textId="0E28AE7C" w:rsidR="00EF3551" w:rsidRPr="00175FFD" w:rsidRDefault="00EF3551"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Zhan X, Stamova B, Sharp FR. Lipopolysaccharide associates with amyloid plaques, neurons and oligodendrocytes in Alzheimer’s disease brain. </w:t>
      </w:r>
      <w:r w:rsidRPr="00175FFD">
        <w:rPr>
          <w:rStyle w:val="s1"/>
          <w:rFonts w:ascii="Times New Roman" w:hAnsi="Times New Roman" w:cs="Times New Roman"/>
          <w:sz w:val="24"/>
          <w:szCs w:val="24"/>
          <w:lang w:val="en-US"/>
        </w:rPr>
        <w:t>Brain Behav Immun</w:t>
      </w:r>
      <w:r w:rsidRPr="00175FFD">
        <w:rPr>
          <w:rFonts w:ascii="Times New Roman" w:hAnsi="Times New Roman" w:cs="Times New Roman"/>
          <w:sz w:val="24"/>
          <w:szCs w:val="24"/>
          <w:lang w:val="en-US"/>
        </w:rPr>
        <w:t>. 20</w:t>
      </w:r>
      <w:r w:rsidR="004F5BFD" w:rsidRPr="00175FFD">
        <w:rPr>
          <w:rFonts w:ascii="Times New Roman" w:hAnsi="Times New Roman" w:cs="Times New Roman"/>
          <w:sz w:val="24"/>
          <w:szCs w:val="24"/>
          <w:lang w:val="en-US"/>
        </w:rPr>
        <w:t>21</w:t>
      </w:r>
      <w:r w:rsidRPr="00175FFD">
        <w:rPr>
          <w:rFonts w:ascii="Times New Roman" w:hAnsi="Times New Roman" w:cs="Times New Roman"/>
          <w:sz w:val="24"/>
          <w:szCs w:val="24"/>
          <w:lang w:val="en-US"/>
        </w:rPr>
        <w:t>;73:181–7.</w:t>
      </w:r>
      <w:r w:rsidR="00C9221D"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https://pubmed.ncbi.nlm.nih.gov/29885414/</w:t>
      </w:r>
    </w:p>
    <w:p w14:paraId="31E5E8BA" w14:textId="4A0607B4" w:rsidR="00EF3551" w:rsidRPr="00175FFD" w:rsidRDefault="00EF3551"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Harach T, Marungruang N, Duthilleul N, et al. Reduction of Abeta amyloid pathology in APPPS1 transgenic mice in the absence of gut microbiota. </w:t>
      </w:r>
      <w:r w:rsidRPr="00175FFD">
        <w:rPr>
          <w:rStyle w:val="s1"/>
          <w:rFonts w:ascii="Times New Roman" w:hAnsi="Times New Roman" w:cs="Times New Roman"/>
          <w:sz w:val="24"/>
          <w:szCs w:val="24"/>
          <w:lang w:val="en-US"/>
        </w:rPr>
        <w:t>Sci Rep</w:t>
      </w:r>
      <w:r w:rsidRPr="00175FFD">
        <w:rPr>
          <w:rFonts w:ascii="Times New Roman" w:hAnsi="Times New Roman" w:cs="Times New Roman"/>
          <w:sz w:val="24"/>
          <w:szCs w:val="24"/>
          <w:lang w:val="en-US"/>
        </w:rPr>
        <w:t>. 20</w:t>
      </w:r>
      <w:r w:rsidR="004F5BFD" w:rsidRPr="00175FFD">
        <w:rPr>
          <w:rFonts w:ascii="Times New Roman" w:hAnsi="Times New Roman" w:cs="Times New Roman"/>
          <w:sz w:val="24"/>
          <w:szCs w:val="24"/>
          <w:lang w:val="en-US"/>
        </w:rPr>
        <w:t>20</w:t>
      </w:r>
      <w:r w:rsidRPr="00175FFD">
        <w:rPr>
          <w:rFonts w:ascii="Times New Roman" w:hAnsi="Times New Roman" w:cs="Times New Roman"/>
          <w:sz w:val="24"/>
          <w:szCs w:val="24"/>
          <w:lang w:val="en-US"/>
        </w:rPr>
        <w:t>;7:41802.</w:t>
      </w:r>
      <w:r w:rsidR="00C9221D"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https://pubmed.ncbi.nlm.nih.gov/28176819/</w:t>
      </w:r>
    </w:p>
    <w:p w14:paraId="0BC509D7" w14:textId="62140723" w:rsidR="00497A26" w:rsidRPr="00175FFD" w:rsidRDefault="00497A26"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Sampson TR, Debelius JW, Thron T, et al. Gut microbiota regulate motor deficits and neuroinflammation in a model of Parkinson’s disease. </w:t>
      </w:r>
      <w:r w:rsidRPr="00175FFD">
        <w:rPr>
          <w:rStyle w:val="s1"/>
          <w:rFonts w:ascii="Times New Roman" w:hAnsi="Times New Roman" w:cs="Times New Roman"/>
          <w:sz w:val="24"/>
          <w:szCs w:val="24"/>
          <w:lang w:val="en-US"/>
        </w:rPr>
        <w:t>Cell</w:t>
      </w:r>
      <w:r w:rsidRPr="00175FFD">
        <w:rPr>
          <w:rFonts w:ascii="Times New Roman" w:hAnsi="Times New Roman" w:cs="Times New Roman"/>
          <w:sz w:val="24"/>
          <w:szCs w:val="24"/>
          <w:lang w:val="en-US"/>
        </w:rPr>
        <w:t>. 20</w:t>
      </w:r>
      <w:r w:rsidR="004F5BFD" w:rsidRPr="00175FFD">
        <w:rPr>
          <w:rFonts w:ascii="Times New Roman" w:hAnsi="Times New Roman" w:cs="Times New Roman"/>
          <w:sz w:val="24"/>
          <w:szCs w:val="24"/>
          <w:lang w:val="en-US"/>
        </w:rPr>
        <w:t>21</w:t>
      </w:r>
      <w:r w:rsidRPr="00175FFD">
        <w:rPr>
          <w:rFonts w:ascii="Times New Roman" w:hAnsi="Times New Roman" w:cs="Times New Roman"/>
          <w:sz w:val="24"/>
          <w:szCs w:val="24"/>
          <w:lang w:val="en-US"/>
        </w:rPr>
        <w:t>;167(6):1469-80. https://pubmed.ncbi.nlm.nih.gov/27912057/</w:t>
      </w:r>
    </w:p>
    <w:p w14:paraId="1290D5E3" w14:textId="77777777" w:rsidR="00FE1520" w:rsidRPr="00175FFD" w:rsidRDefault="00FE1520" w:rsidP="00EC5030">
      <w:pPr>
        <w:pStyle w:val="p1"/>
        <w:numPr>
          <w:ilvl w:val="0"/>
          <w:numId w:val="9"/>
        </w:numPr>
        <w:spacing w:line="360" w:lineRule="auto"/>
        <w:jc w:val="both"/>
      </w:pPr>
      <w:r w:rsidRPr="00175FFD">
        <w:rPr>
          <w:rStyle w:val="s1"/>
        </w:rPr>
        <w:t>Yadav S, Raj RG.</w:t>
      </w:r>
      <w:r w:rsidRPr="00175FFD">
        <w:rPr>
          <w:rStyle w:val="s2"/>
        </w:rPr>
        <w:t xml:space="preserve"> Parkinson’s disease and the gut microbiota connection: unveiling dysbiosis and exploring therapeutic horizons. </w:t>
      </w:r>
      <w:r w:rsidRPr="00175FFD">
        <w:rPr>
          <w:rStyle w:val="s3"/>
        </w:rPr>
        <w:t>Neuroscience</w:t>
      </w:r>
      <w:r w:rsidRPr="00175FFD">
        <w:rPr>
          <w:rStyle w:val="s2"/>
        </w:rPr>
        <w:t>. 2025;581:1–15. doi:10.1016/j.neuroscience.2025.07.003.</w:t>
      </w:r>
      <w:r w:rsidRPr="00175FFD">
        <w:rPr>
          <w:rStyle w:val="apple-converted-space"/>
        </w:rPr>
        <w:t> </w:t>
      </w:r>
    </w:p>
    <w:p w14:paraId="065184A8" w14:textId="45A61AD9" w:rsidR="00FE1520" w:rsidRPr="00175FFD" w:rsidRDefault="00FE1520" w:rsidP="00EC5030">
      <w:pPr>
        <w:pStyle w:val="p1"/>
        <w:numPr>
          <w:ilvl w:val="0"/>
          <w:numId w:val="9"/>
        </w:numPr>
        <w:spacing w:line="360" w:lineRule="auto"/>
        <w:jc w:val="both"/>
      </w:pPr>
      <w:r w:rsidRPr="00175FFD">
        <w:rPr>
          <w:rStyle w:val="s1"/>
        </w:rPr>
        <w:lastRenderedPageBreak/>
        <w:t>Wang L, Cui Y, Han B, Du Y, Salewala KS, Wang S, Zhao W, Xu X, Ma J, Zhu Y, Tuo H.</w:t>
      </w:r>
      <w:r w:rsidRPr="00175FFD">
        <w:rPr>
          <w:rStyle w:val="s2"/>
        </w:rPr>
        <w:t xml:space="preserve"> Gut microbiota and Parkinson’s disease. </w:t>
      </w:r>
      <w:r w:rsidRPr="00175FFD">
        <w:rPr>
          <w:rStyle w:val="s3"/>
        </w:rPr>
        <w:t>Chin Med J (Engl)</w:t>
      </w:r>
      <w:r w:rsidRPr="00175FFD">
        <w:rPr>
          <w:rStyle w:val="s2"/>
        </w:rPr>
        <w:t>. 2025;138(3):289–297. PMID: 39501822. https://pubmed.ncbi.nlm.nih.gov/39501822/</w:t>
      </w:r>
      <w:r w:rsidRPr="00175FFD">
        <w:rPr>
          <w:rStyle w:val="apple-converted-space"/>
        </w:rPr>
        <w:t> </w:t>
      </w:r>
    </w:p>
    <w:p w14:paraId="73570AFE" w14:textId="222FAAF1" w:rsidR="00537F0F" w:rsidRPr="00175FFD" w:rsidRDefault="00537F0F" w:rsidP="00EC5030">
      <w:pPr>
        <w:pStyle w:val="p1"/>
        <w:numPr>
          <w:ilvl w:val="0"/>
          <w:numId w:val="9"/>
        </w:numPr>
        <w:spacing w:line="360" w:lineRule="auto"/>
        <w:jc w:val="both"/>
      </w:pPr>
      <w:r w:rsidRPr="00175FFD">
        <w:rPr>
          <w:rStyle w:val="s1"/>
        </w:rPr>
        <w:t>Suresh SB, Malireddi A, Abera M, et al.</w:t>
      </w:r>
      <w:r w:rsidRPr="00175FFD">
        <w:rPr>
          <w:rStyle w:val="s2"/>
        </w:rPr>
        <w:t xml:space="preserve"> Gut microbiome and its role in Parkinson’s disease: a systematic review. </w:t>
      </w:r>
      <w:r w:rsidRPr="00175FFD">
        <w:rPr>
          <w:rStyle w:val="s3"/>
        </w:rPr>
        <w:t>Cureus</w:t>
      </w:r>
      <w:r w:rsidRPr="00175FFD">
        <w:rPr>
          <w:rStyle w:val="s2"/>
        </w:rPr>
        <w:t>. 2024;16(11):e73150. https://pubmed.ncbi.nlm.nih.gov/39651029/</w:t>
      </w:r>
      <w:r w:rsidRPr="00175FFD">
        <w:rPr>
          <w:rStyle w:val="apple-converted-space"/>
        </w:rPr>
        <w:t> </w:t>
      </w:r>
    </w:p>
    <w:p w14:paraId="4E475A39" w14:textId="21B5553B" w:rsidR="004F5BFD" w:rsidRPr="00175FFD" w:rsidRDefault="004F5BFD" w:rsidP="00EC5030">
      <w:pPr>
        <w:pStyle w:val="p1"/>
        <w:numPr>
          <w:ilvl w:val="0"/>
          <w:numId w:val="9"/>
        </w:numPr>
        <w:spacing w:line="360" w:lineRule="auto"/>
        <w:jc w:val="both"/>
      </w:pPr>
      <w:r w:rsidRPr="00175FFD">
        <w:rPr>
          <w:rStyle w:val="s1"/>
        </w:rPr>
        <w:t>Pfaffinger JM, Hays KE, Seeley J, Ramesh Babu P, Ryznar R.</w:t>
      </w:r>
      <w:r w:rsidRPr="00175FFD">
        <w:rPr>
          <w:rStyle w:val="s2"/>
        </w:rPr>
        <w:t xml:space="preserve"> Gut dysbiosis as a potential driver of Parkinson’s and Alzheimer’s disease pathogenesis. </w:t>
      </w:r>
      <w:r w:rsidRPr="00175FFD">
        <w:rPr>
          <w:rStyle w:val="s3"/>
        </w:rPr>
        <w:t>Front Neurosci</w:t>
      </w:r>
      <w:r w:rsidRPr="00175FFD">
        <w:rPr>
          <w:rStyle w:val="s2"/>
        </w:rPr>
        <w:t>. 2025;19:1600148. doi:10.3389/fnins.2025.1600148.</w:t>
      </w:r>
    </w:p>
    <w:p w14:paraId="2A43BDF0" w14:textId="63CBB0E0" w:rsidR="00CB54B6" w:rsidRPr="00175FFD" w:rsidRDefault="00CB54B6"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Berer K, Mues M, Koutrolos M, et al. </w:t>
      </w:r>
      <w:r w:rsidRPr="00175FFD">
        <w:rPr>
          <w:rFonts w:ascii="Times New Roman" w:hAnsi="Times New Roman" w:cs="Times New Roman"/>
          <w:sz w:val="24"/>
          <w:szCs w:val="24"/>
          <w:lang w:val="en-US"/>
        </w:rPr>
        <w:t xml:space="preserve">Commensal microbiota and myelin autoantigen cooperate to trigger autoimmune demyelination. </w:t>
      </w:r>
      <w:r w:rsidRPr="00175FFD">
        <w:rPr>
          <w:rStyle w:val="s1"/>
          <w:rFonts w:ascii="Times New Roman" w:hAnsi="Times New Roman" w:cs="Times New Roman"/>
          <w:sz w:val="24"/>
          <w:szCs w:val="24"/>
          <w:lang w:val="en-US"/>
        </w:rPr>
        <w:t>Nature</w:t>
      </w:r>
      <w:r w:rsidRPr="00175FFD">
        <w:rPr>
          <w:rFonts w:ascii="Times New Roman" w:hAnsi="Times New Roman" w:cs="Times New Roman"/>
          <w:sz w:val="24"/>
          <w:szCs w:val="24"/>
          <w:lang w:val="en-US"/>
        </w:rPr>
        <w:t>. 20</w:t>
      </w:r>
      <w:r w:rsidR="00F32F91" w:rsidRPr="00175FFD">
        <w:rPr>
          <w:rFonts w:ascii="Times New Roman" w:hAnsi="Times New Roman" w:cs="Times New Roman"/>
          <w:sz w:val="24"/>
          <w:szCs w:val="24"/>
          <w:lang w:val="en-US"/>
        </w:rPr>
        <w:t>21</w:t>
      </w:r>
      <w:r w:rsidRPr="00175FFD">
        <w:rPr>
          <w:rFonts w:ascii="Times New Roman" w:hAnsi="Times New Roman" w:cs="Times New Roman"/>
          <w:sz w:val="24"/>
          <w:szCs w:val="24"/>
          <w:lang w:val="en-US"/>
        </w:rPr>
        <w:t>;479(7374):538–41.</w:t>
      </w:r>
      <w:r w:rsidR="002D2451"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https://pubmed.ncbi.nlm.nih.gov/22031325/</w:t>
      </w:r>
    </w:p>
    <w:p w14:paraId="6A554C17" w14:textId="540C8471" w:rsidR="00CB54B6" w:rsidRPr="00175FFD" w:rsidRDefault="00CB54B6"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Jangi S, Gandhi R, Cox LM, et al. Alterations of the human gut microbiome in multiple sclerosis. </w:t>
      </w:r>
      <w:r w:rsidRPr="00175FFD">
        <w:rPr>
          <w:rStyle w:val="s1"/>
          <w:rFonts w:ascii="Times New Roman" w:hAnsi="Times New Roman" w:cs="Times New Roman"/>
          <w:sz w:val="24"/>
          <w:szCs w:val="24"/>
          <w:lang w:val="en-US"/>
        </w:rPr>
        <w:t>Nat Commun</w:t>
      </w:r>
      <w:r w:rsidRPr="00175FFD">
        <w:rPr>
          <w:rFonts w:ascii="Times New Roman" w:hAnsi="Times New Roman" w:cs="Times New Roman"/>
          <w:sz w:val="24"/>
          <w:szCs w:val="24"/>
          <w:lang w:val="en-US"/>
        </w:rPr>
        <w:t>. 2016;7:12015.</w:t>
      </w:r>
      <w:r w:rsidR="002D2451"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https://pubmed.ncbi.nlm.nih.gov/27352007/</w:t>
      </w:r>
    </w:p>
    <w:p w14:paraId="098707DC" w14:textId="589F745C" w:rsidR="00CB54B6" w:rsidRPr="00175FFD" w:rsidRDefault="00CB54B6"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Cekanaviciute E, Yoo BB, Runia TF, et al. </w:t>
      </w:r>
      <w:r w:rsidRPr="00175FFD">
        <w:rPr>
          <w:rFonts w:ascii="Times New Roman" w:hAnsi="Times New Roman" w:cs="Times New Roman"/>
          <w:sz w:val="24"/>
          <w:szCs w:val="24"/>
          <w:lang w:val="en-US"/>
        </w:rPr>
        <w:t xml:space="preserve">Gut bacteria from multiple sclerosis patients modulate human T cells and exacerbate symptoms in mouse models. </w:t>
      </w:r>
      <w:r w:rsidRPr="00175FFD">
        <w:rPr>
          <w:rStyle w:val="s1"/>
          <w:rFonts w:ascii="Times New Roman" w:hAnsi="Times New Roman" w:cs="Times New Roman"/>
          <w:sz w:val="24"/>
          <w:szCs w:val="24"/>
          <w:lang w:val="en-US"/>
        </w:rPr>
        <w:t>Proc Natl Acad Sci U S A</w:t>
      </w:r>
      <w:r w:rsidRPr="00175FFD">
        <w:rPr>
          <w:rFonts w:ascii="Times New Roman" w:hAnsi="Times New Roman" w:cs="Times New Roman"/>
          <w:sz w:val="24"/>
          <w:szCs w:val="24"/>
          <w:lang w:val="en-US"/>
        </w:rPr>
        <w:t>. 2017;114(40):10713–8.</w:t>
      </w:r>
      <w:r w:rsidR="002D2451"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https://pubmed.ncbi.nlm.nih.gov/28923995/</w:t>
      </w:r>
    </w:p>
    <w:p w14:paraId="77AA9995" w14:textId="4FB7D923" w:rsidR="00CB54B6" w:rsidRPr="00175FFD" w:rsidRDefault="00CB54B6"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Miyake S, Kim S, Suda W, et al. Dysbiosis in the gut microbiota of patients with multiple sclerosis. </w:t>
      </w:r>
      <w:r w:rsidRPr="00175FFD">
        <w:rPr>
          <w:rStyle w:val="s1"/>
          <w:rFonts w:ascii="Times New Roman" w:hAnsi="Times New Roman" w:cs="Times New Roman"/>
          <w:sz w:val="24"/>
          <w:szCs w:val="24"/>
          <w:lang w:val="en-US"/>
        </w:rPr>
        <w:t>Ann Clin Transl Neurol</w:t>
      </w:r>
      <w:r w:rsidRPr="00175FFD">
        <w:rPr>
          <w:rFonts w:ascii="Times New Roman" w:hAnsi="Times New Roman" w:cs="Times New Roman"/>
          <w:sz w:val="24"/>
          <w:szCs w:val="24"/>
          <w:lang w:val="en-US"/>
        </w:rPr>
        <w:t>. 20</w:t>
      </w:r>
      <w:r w:rsidR="00F32F91" w:rsidRPr="00175FFD">
        <w:rPr>
          <w:rFonts w:ascii="Times New Roman" w:hAnsi="Times New Roman" w:cs="Times New Roman"/>
          <w:sz w:val="24"/>
          <w:szCs w:val="24"/>
          <w:lang w:val="en-US"/>
        </w:rPr>
        <w:t>25</w:t>
      </w:r>
      <w:r w:rsidRPr="00175FFD">
        <w:rPr>
          <w:rFonts w:ascii="Times New Roman" w:hAnsi="Times New Roman" w:cs="Times New Roman"/>
          <w:sz w:val="24"/>
          <w:szCs w:val="24"/>
          <w:lang w:val="en-US"/>
        </w:rPr>
        <w:t>;2(10):1024–40.</w:t>
      </w:r>
      <w:r w:rsidR="002D2451"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https://pubmed.ncbi.nlm.nih.gov/26576244/</w:t>
      </w:r>
    </w:p>
    <w:p w14:paraId="404921ED" w14:textId="4861D1DD" w:rsidR="00CB54B6" w:rsidRPr="00175FFD" w:rsidRDefault="00CB54B6"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Haghikia A, Jörg S, Duscha A, et al. Dietary fatty acids directly impact central nervous system autoimmunity via the small intestine. </w:t>
      </w:r>
      <w:r w:rsidRPr="00175FFD">
        <w:rPr>
          <w:rStyle w:val="s1"/>
          <w:rFonts w:ascii="Times New Roman" w:hAnsi="Times New Roman" w:cs="Times New Roman"/>
          <w:sz w:val="24"/>
          <w:szCs w:val="24"/>
          <w:lang w:val="en-US"/>
        </w:rPr>
        <w:t>Immunity</w:t>
      </w:r>
      <w:r w:rsidRPr="00175FFD">
        <w:rPr>
          <w:rFonts w:ascii="Times New Roman" w:hAnsi="Times New Roman" w:cs="Times New Roman"/>
          <w:sz w:val="24"/>
          <w:szCs w:val="24"/>
          <w:lang w:val="en-US"/>
        </w:rPr>
        <w:t>. 20</w:t>
      </w:r>
      <w:r w:rsidR="00F32F91" w:rsidRPr="00175FFD">
        <w:rPr>
          <w:rFonts w:ascii="Times New Roman" w:hAnsi="Times New Roman" w:cs="Times New Roman"/>
          <w:sz w:val="24"/>
          <w:szCs w:val="24"/>
          <w:lang w:val="en-US"/>
        </w:rPr>
        <w:t>25</w:t>
      </w:r>
      <w:r w:rsidRPr="00175FFD">
        <w:rPr>
          <w:rFonts w:ascii="Times New Roman" w:hAnsi="Times New Roman" w:cs="Times New Roman"/>
          <w:sz w:val="24"/>
          <w:szCs w:val="24"/>
          <w:lang w:val="en-US"/>
        </w:rPr>
        <w:t>;43(4):817–29.</w:t>
      </w:r>
      <w:r w:rsidR="002D2451"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https://pubmed.ncbi.nlm.nih.gov/26488817/</w:t>
      </w:r>
    </w:p>
    <w:p w14:paraId="1DB272D3" w14:textId="6B559057" w:rsidR="0095727B" w:rsidRPr="00175FFD" w:rsidRDefault="0095727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De Filippis F, Pellegrini N, Vannini L, et al. </w:t>
      </w:r>
      <w:r w:rsidRPr="00175FFD">
        <w:rPr>
          <w:rFonts w:ascii="Times New Roman" w:hAnsi="Times New Roman" w:cs="Times New Roman"/>
          <w:sz w:val="24"/>
          <w:szCs w:val="24"/>
          <w:lang w:val="en-US"/>
        </w:rPr>
        <w:t xml:space="preserve">High-level adherence to a Mediterranean diet beneficially impacts the gut microbiota and associated metabolome. </w:t>
      </w:r>
      <w:r w:rsidRPr="00175FFD">
        <w:rPr>
          <w:rStyle w:val="s1"/>
          <w:rFonts w:ascii="Times New Roman" w:hAnsi="Times New Roman" w:cs="Times New Roman"/>
          <w:sz w:val="24"/>
          <w:szCs w:val="24"/>
          <w:lang w:val="en-US"/>
        </w:rPr>
        <w:t>Gut</w:t>
      </w:r>
      <w:r w:rsidRPr="00175FFD">
        <w:rPr>
          <w:rFonts w:ascii="Times New Roman" w:hAnsi="Times New Roman" w:cs="Times New Roman"/>
          <w:sz w:val="24"/>
          <w:szCs w:val="24"/>
          <w:lang w:val="en-US"/>
        </w:rPr>
        <w:t>. 20</w:t>
      </w:r>
      <w:r w:rsidR="00B93F8C" w:rsidRPr="00175FFD">
        <w:rPr>
          <w:rFonts w:ascii="Times New Roman" w:hAnsi="Times New Roman" w:cs="Times New Roman"/>
          <w:sz w:val="24"/>
          <w:szCs w:val="24"/>
          <w:lang w:val="en-US"/>
        </w:rPr>
        <w:t>21</w:t>
      </w:r>
      <w:r w:rsidRPr="00175FFD">
        <w:rPr>
          <w:rFonts w:ascii="Times New Roman" w:hAnsi="Times New Roman" w:cs="Times New Roman"/>
          <w:sz w:val="24"/>
          <w:szCs w:val="24"/>
          <w:lang w:val="en-US"/>
        </w:rPr>
        <w:t>;65(11):1812–21.</w:t>
      </w:r>
      <w:r w:rsidR="004C4BE2"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https://pubmed.ncbi.nlm.nih.gov/26416813/</w:t>
      </w:r>
    </w:p>
    <w:p w14:paraId="2F79E32C" w14:textId="1079ADEF" w:rsidR="0095727B" w:rsidRPr="00175FFD" w:rsidRDefault="0095727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lastRenderedPageBreak/>
        <w:t xml:space="preserve">Valdes AM, Walter J, Segal E, Spector TD. Role of the gut microbiota in nutrition and health. </w:t>
      </w:r>
      <w:r w:rsidRPr="00175FFD">
        <w:rPr>
          <w:rStyle w:val="s1"/>
          <w:rFonts w:ascii="Times New Roman" w:hAnsi="Times New Roman" w:cs="Times New Roman"/>
          <w:sz w:val="24"/>
          <w:szCs w:val="24"/>
        </w:rPr>
        <w:t>BMJ</w:t>
      </w:r>
      <w:r w:rsidRPr="00175FFD">
        <w:rPr>
          <w:rFonts w:ascii="Times New Roman" w:hAnsi="Times New Roman" w:cs="Times New Roman"/>
          <w:sz w:val="24"/>
          <w:szCs w:val="24"/>
        </w:rPr>
        <w:t>. 2018;361:k2179.</w:t>
      </w:r>
      <w:r w:rsidR="004C4BE2"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https://pubmed.ncbi.nlm.nih.gov/29884669/</w:t>
      </w:r>
    </w:p>
    <w:p w14:paraId="748075FE" w14:textId="005F4F21" w:rsidR="0095727B" w:rsidRPr="00175FFD" w:rsidRDefault="0095727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Makki K, Deehan EC, Walter J, Bäckhed F. The impact of dietary fiber on gut microbiota in host health and disease. </w:t>
      </w:r>
      <w:r w:rsidRPr="00175FFD">
        <w:rPr>
          <w:rStyle w:val="s1"/>
          <w:rFonts w:ascii="Times New Roman" w:hAnsi="Times New Roman" w:cs="Times New Roman"/>
          <w:sz w:val="24"/>
          <w:szCs w:val="24"/>
        </w:rPr>
        <w:t>Cell Host Microbe</w:t>
      </w:r>
      <w:r w:rsidRPr="00175FFD">
        <w:rPr>
          <w:rFonts w:ascii="Times New Roman" w:hAnsi="Times New Roman" w:cs="Times New Roman"/>
          <w:sz w:val="24"/>
          <w:szCs w:val="24"/>
        </w:rPr>
        <w:t>. 20</w:t>
      </w:r>
      <w:r w:rsidR="00B93F8C" w:rsidRPr="00175FFD">
        <w:rPr>
          <w:rFonts w:ascii="Times New Roman" w:hAnsi="Times New Roman" w:cs="Times New Roman"/>
          <w:sz w:val="24"/>
          <w:szCs w:val="24"/>
        </w:rPr>
        <w:t>20</w:t>
      </w:r>
      <w:r w:rsidRPr="00175FFD">
        <w:rPr>
          <w:rFonts w:ascii="Times New Roman" w:hAnsi="Times New Roman" w:cs="Times New Roman"/>
          <w:sz w:val="24"/>
          <w:szCs w:val="24"/>
        </w:rPr>
        <w:t>;23(6):705–15.</w:t>
      </w:r>
      <w:r w:rsidR="004C4BE2"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https://pubmed.ncbi.nlm.nih.gov/29902436/</w:t>
      </w:r>
    </w:p>
    <w:p w14:paraId="2B994373" w14:textId="6EDCCE53" w:rsidR="0095727B" w:rsidRPr="00175FFD" w:rsidRDefault="0095727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Hill C, Guarner F, Reid G, et al. The International Scientific Association for Probiotics and Prebiotics consensus statement on the scope and appropriate use of probiotics. </w:t>
      </w:r>
      <w:r w:rsidRPr="00175FFD">
        <w:rPr>
          <w:rStyle w:val="s1"/>
          <w:rFonts w:ascii="Times New Roman" w:hAnsi="Times New Roman" w:cs="Times New Roman"/>
          <w:sz w:val="24"/>
          <w:szCs w:val="24"/>
        </w:rPr>
        <w:t>Nat Rev Gastroenterol Hepatol</w:t>
      </w:r>
      <w:r w:rsidRPr="00175FFD">
        <w:rPr>
          <w:rFonts w:ascii="Times New Roman" w:hAnsi="Times New Roman" w:cs="Times New Roman"/>
          <w:sz w:val="24"/>
          <w:szCs w:val="24"/>
        </w:rPr>
        <w:t>. 20</w:t>
      </w:r>
      <w:r w:rsidR="00F32F91" w:rsidRPr="00175FFD">
        <w:rPr>
          <w:rFonts w:ascii="Times New Roman" w:hAnsi="Times New Roman" w:cs="Times New Roman"/>
          <w:sz w:val="24"/>
          <w:szCs w:val="24"/>
        </w:rPr>
        <w:t>24</w:t>
      </w:r>
      <w:r w:rsidRPr="00175FFD">
        <w:rPr>
          <w:rFonts w:ascii="Times New Roman" w:hAnsi="Times New Roman" w:cs="Times New Roman"/>
          <w:sz w:val="24"/>
          <w:szCs w:val="24"/>
        </w:rPr>
        <w:t>;11(8):506–14.</w:t>
      </w:r>
      <w:r w:rsidR="004C4BE2"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https://pubmed.ncbi.nlm.nih.gov/24912386/</w:t>
      </w:r>
    </w:p>
    <w:p w14:paraId="462E726C" w14:textId="33271C8F" w:rsidR="0095727B" w:rsidRPr="00175FFD" w:rsidRDefault="0095727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Gibson GR, Hutkins R, Sanders ME, et al. The International Scientific Association for Probiotics and Prebiotics (ISAPP) consensus statement on the definition and scope of prebiotics. </w:t>
      </w:r>
      <w:r w:rsidRPr="00175FFD">
        <w:rPr>
          <w:rStyle w:val="s1"/>
          <w:rFonts w:ascii="Times New Roman" w:hAnsi="Times New Roman" w:cs="Times New Roman"/>
          <w:sz w:val="24"/>
          <w:szCs w:val="24"/>
        </w:rPr>
        <w:t>Nat Rev Gastroenterol Hepatol</w:t>
      </w:r>
      <w:r w:rsidRPr="00175FFD">
        <w:rPr>
          <w:rFonts w:ascii="Times New Roman" w:hAnsi="Times New Roman" w:cs="Times New Roman"/>
          <w:sz w:val="24"/>
          <w:szCs w:val="24"/>
        </w:rPr>
        <w:t>. 20</w:t>
      </w:r>
      <w:r w:rsidR="0055293E" w:rsidRPr="00175FFD">
        <w:rPr>
          <w:rFonts w:ascii="Times New Roman" w:hAnsi="Times New Roman" w:cs="Times New Roman"/>
          <w:sz w:val="24"/>
          <w:szCs w:val="24"/>
        </w:rPr>
        <w:t>23</w:t>
      </w:r>
      <w:r w:rsidRPr="00175FFD">
        <w:rPr>
          <w:rFonts w:ascii="Times New Roman" w:hAnsi="Times New Roman" w:cs="Times New Roman"/>
          <w:sz w:val="24"/>
          <w:szCs w:val="24"/>
        </w:rPr>
        <w:t>;14(8):491–502.</w:t>
      </w:r>
      <w:r w:rsidR="004C4BE2"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https://pubmed.ncbi.nlm.nih.gov/28611480/</w:t>
      </w:r>
    </w:p>
    <w:p w14:paraId="365FB3E7" w14:textId="5898E45F" w:rsidR="0095727B" w:rsidRPr="00175FFD" w:rsidRDefault="0095727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Zinöcker MK, Lindseth IA. The Western diet–microbiome-host interaction and its role in metabolic disease. </w:t>
      </w:r>
      <w:r w:rsidRPr="00175FFD">
        <w:rPr>
          <w:rStyle w:val="s1"/>
          <w:rFonts w:ascii="Times New Roman" w:hAnsi="Times New Roman" w:cs="Times New Roman"/>
          <w:sz w:val="24"/>
          <w:szCs w:val="24"/>
        </w:rPr>
        <w:t>Nutrients</w:t>
      </w:r>
      <w:r w:rsidRPr="00175FFD">
        <w:rPr>
          <w:rFonts w:ascii="Times New Roman" w:hAnsi="Times New Roman" w:cs="Times New Roman"/>
          <w:sz w:val="24"/>
          <w:szCs w:val="24"/>
        </w:rPr>
        <w:t>. 20</w:t>
      </w:r>
      <w:r w:rsidR="00F32F91" w:rsidRPr="00175FFD">
        <w:rPr>
          <w:rFonts w:ascii="Times New Roman" w:hAnsi="Times New Roman" w:cs="Times New Roman"/>
          <w:sz w:val="24"/>
          <w:szCs w:val="24"/>
        </w:rPr>
        <w:t>21</w:t>
      </w:r>
      <w:r w:rsidRPr="00175FFD">
        <w:rPr>
          <w:rFonts w:ascii="Times New Roman" w:hAnsi="Times New Roman" w:cs="Times New Roman"/>
          <w:sz w:val="24"/>
          <w:szCs w:val="24"/>
        </w:rPr>
        <w:t>;10(3):365.</w:t>
      </w:r>
      <w:r w:rsidR="004C4BE2"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https://pubmed.ncbi.nlm.nih.gov/29562591/</w:t>
      </w:r>
    </w:p>
    <w:p w14:paraId="3E8521B6" w14:textId="76C399BE" w:rsidR="007C082C" w:rsidRPr="00175FFD" w:rsidRDefault="007C082C"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Cattaneo A, Cattane N, Galluzzi S, et al. Association of brain amyloidosis with pro-inflammatory gut bacterial taxa and peripheral inflammation markers in cognitively impaired elderly. </w:t>
      </w:r>
      <w:r w:rsidRPr="00175FFD">
        <w:rPr>
          <w:rStyle w:val="s1"/>
          <w:rFonts w:ascii="Times New Roman" w:hAnsi="Times New Roman" w:cs="Times New Roman"/>
          <w:sz w:val="24"/>
          <w:szCs w:val="24"/>
          <w:lang w:val="en-US"/>
        </w:rPr>
        <w:t>Neurobiol Aging</w:t>
      </w:r>
      <w:r w:rsidRPr="00175FFD">
        <w:rPr>
          <w:rFonts w:ascii="Times New Roman" w:hAnsi="Times New Roman" w:cs="Times New Roman"/>
          <w:sz w:val="24"/>
          <w:szCs w:val="24"/>
          <w:lang w:val="en-US"/>
        </w:rPr>
        <w:t>. 2017;49:60–8.</w:t>
      </w:r>
      <w:r w:rsidR="005E1961"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https://pubmed.ncbi.nlm.nih.gov/27816495/</w:t>
      </w:r>
    </w:p>
    <w:p w14:paraId="49B0770B" w14:textId="49C496E5" w:rsidR="009013AA" w:rsidRPr="00175FFD" w:rsidRDefault="007C082C"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Scheperjans F, Aho V, Pereira PAB, et al. </w:t>
      </w:r>
      <w:r w:rsidRPr="00175FFD">
        <w:rPr>
          <w:rFonts w:ascii="Times New Roman" w:hAnsi="Times New Roman" w:cs="Times New Roman"/>
          <w:sz w:val="24"/>
          <w:szCs w:val="24"/>
          <w:lang w:val="en-US"/>
        </w:rPr>
        <w:t xml:space="preserve">Gut microbiota are related to Parkinson’s disease and clinical phenotype. </w:t>
      </w:r>
      <w:r w:rsidRPr="00175FFD">
        <w:rPr>
          <w:rStyle w:val="s1"/>
          <w:rFonts w:ascii="Times New Roman" w:hAnsi="Times New Roman" w:cs="Times New Roman"/>
          <w:sz w:val="24"/>
          <w:szCs w:val="24"/>
          <w:lang w:val="en-US"/>
        </w:rPr>
        <w:t>Mov Disord</w:t>
      </w:r>
      <w:r w:rsidRPr="00175FFD">
        <w:rPr>
          <w:rFonts w:ascii="Times New Roman" w:hAnsi="Times New Roman" w:cs="Times New Roman"/>
          <w:sz w:val="24"/>
          <w:szCs w:val="24"/>
          <w:lang w:val="en-US"/>
        </w:rPr>
        <w:t>. 20</w:t>
      </w:r>
      <w:r w:rsidR="00F32F91" w:rsidRPr="00175FFD">
        <w:rPr>
          <w:rFonts w:ascii="Times New Roman" w:hAnsi="Times New Roman" w:cs="Times New Roman"/>
          <w:sz w:val="24"/>
          <w:szCs w:val="24"/>
          <w:lang w:val="en-US"/>
        </w:rPr>
        <w:t>25</w:t>
      </w:r>
      <w:r w:rsidRPr="00175FFD">
        <w:rPr>
          <w:rFonts w:ascii="Times New Roman" w:hAnsi="Times New Roman" w:cs="Times New Roman"/>
          <w:sz w:val="24"/>
          <w:szCs w:val="24"/>
          <w:lang w:val="en-US"/>
        </w:rPr>
        <w:t>;30(3):350–8.</w:t>
      </w:r>
      <w:r w:rsidR="005E1961" w:rsidRPr="00175FFD">
        <w:rPr>
          <w:rFonts w:ascii="Times New Roman" w:hAnsi="Times New Roman" w:cs="Times New Roman"/>
          <w:sz w:val="24"/>
          <w:szCs w:val="24"/>
          <w:lang w:val="en-US"/>
        </w:rPr>
        <w:t xml:space="preserve"> </w:t>
      </w:r>
      <w:hyperlink r:id="rId40" w:history="1">
        <w:r w:rsidR="00A429C9" w:rsidRPr="00175FFD">
          <w:rPr>
            <w:rFonts w:ascii="Times New Roman" w:hAnsi="Times New Roman" w:cs="Times New Roman"/>
            <w:sz w:val="24"/>
            <w:szCs w:val="24"/>
            <w:lang w:val="en-US"/>
          </w:rPr>
          <w:t>https://pubmed.ncbi.nlm.nih.gov/25476529/</w:t>
        </w:r>
      </w:hyperlink>
    </w:p>
    <w:p w14:paraId="673261FF" w14:textId="4C649833" w:rsidR="009013AA" w:rsidRPr="00175FFD" w:rsidRDefault="00A429C9"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rPr>
        <w:t xml:space="preserve">Hernández Sampieri, R., Fernández Collado, C., &amp; Baptista Lucio, P. (2014). </w:t>
      </w:r>
      <w:r w:rsidRPr="00175FFD">
        <w:rPr>
          <w:rStyle w:val="s1"/>
          <w:rFonts w:ascii="Times New Roman" w:hAnsi="Times New Roman" w:cs="Times New Roman"/>
          <w:sz w:val="24"/>
          <w:szCs w:val="24"/>
        </w:rPr>
        <w:t>Metodología de la investigación</w:t>
      </w:r>
      <w:r w:rsidRPr="00175FFD">
        <w:rPr>
          <w:rFonts w:ascii="Times New Roman" w:hAnsi="Times New Roman" w:cs="Times New Roman"/>
          <w:sz w:val="24"/>
          <w:szCs w:val="24"/>
        </w:rPr>
        <w:t xml:space="preserve"> (6.ª ed.). McGraw-Hill.</w:t>
      </w:r>
      <w:r w:rsidR="009013AA" w:rsidRPr="00175FFD">
        <w:rPr>
          <w:rFonts w:ascii="Times New Roman" w:hAnsi="Times New Roman" w:cs="Times New Roman"/>
          <w:sz w:val="24"/>
          <w:szCs w:val="24"/>
        </w:rPr>
        <w:t xml:space="preserve"> </w:t>
      </w:r>
      <w:r w:rsidR="009013AA" w:rsidRPr="00175FFD">
        <w:rPr>
          <w:rStyle w:val="s1"/>
          <w:rFonts w:ascii="Times New Roman" w:hAnsi="Times New Roman" w:cs="Times New Roman"/>
          <w:sz w:val="24"/>
          <w:szCs w:val="24"/>
        </w:rPr>
        <w:t xml:space="preserve">https://bibliotecadigital.utn.edu.ec/s/inicio/item/13686 </w:t>
      </w:r>
      <w:r w:rsidR="009013AA" w:rsidRPr="00175FFD">
        <w:rPr>
          <w:rStyle w:val="PiedepginaCar"/>
          <w:rFonts w:ascii="Times New Roman" w:hAnsi="Times New Roman" w:cs="Times New Roman"/>
          <w:sz w:val="24"/>
          <w:szCs w:val="24"/>
        </w:rPr>
        <w:t> </w:t>
      </w:r>
    </w:p>
    <w:p w14:paraId="7836755E" w14:textId="77777777" w:rsidR="001C43E5" w:rsidRPr="00175FFD" w:rsidRDefault="001C43E5"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lastRenderedPageBreak/>
        <w:t xml:space="preserve">Di Vincenzo F, Del Gaudio A, Petito V, Lopetuso LR, Scaldaferri F. Gut microbiota, intestinal permeability, and systemic inflammation: a narrative review. </w:t>
      </w:r>
      <w:r w:rsidRPr="00175FFD">
        <w:rPr>
          <w:rStyle w:val="s1"/>
          <w:rFonts w:ascii="Times New Roman" w:hAnsi="Times New Roman" w:cs="Times New Roman"/>
          <w:sz w:val="24"/>
          <w:szCs w:val="24"/>
        </w:rPr>
        <w:t>Intern Emerg Med</w:t>
      </w:r>
      <w:r w:rsidRPr="00175FFD">
        <w:rPr>
          <w:rFonts w:ascii="Times New Roman" w:hAnsi="Times New Roman" w:cs="Times New Roman"/>
          <w:sz w:val="24"/>
          <w:szCs w:val="24"/>
        </w:rPr>
        <w:t xml:space="preserve">. 2024;19(2):275–293. </w:t>
      </w:r>
      <w:r w:rsidRPr="00175FFD">
        <w:rPr>
          <w:rStyle w:val="PiedepginaCar"/>
          <w:rFonts w:ascii="Times New Roman" w:hAnsi="Times New Roman" w:cs="Times New Roman"/>
          <w:sz w:val="24"/>
          <w:szCs w:val="24"/>
        </w:rPr>
        <w:t> </w:t>
      </w:r>
    </w:p>
    <w:p w14:paraId="050455B2" w14:textId="77777777" w:rsidR="00FD65A7" w:rsidRPr="00175FFD" w:rsidRDefault="00FD65A7"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Huang R, et al. Gut dysbiosis as a potential driver of Parkinson’s and Alzheimer’s disease pathogenesis. </w:t>
      </w:r>
      <w:r w:rsidRPr="00175FFD">
        <w:rPr>
          <w:rStyle w:val="s1"/>
          <w:rFonts w:ascii="Times New Roman" w:hAnsi="Times New Roman" w:cs="Times New Roman"/>
          <w:sz w:val="24"/>
          <w:szCs w:val="24"/>
          <w:lang w:val="en-US"/>
        </w:rPr>
        <w:t>PMID</w:t>
      </w:r>
      <w:r w:rsidRPr="00175FFD">
        <w:rPr>
          <w:rFonts w:ascii="Times New Roman" w:hAnsi="Times New Roman" w:cs="Times New Roman"/>
          <w:sz w:val="24"/>
          <w:szCs w:val="24"/>
          <w:lang w:val="en-US"/>
        </w:rPr>
        <w:t xml:space="preserve">. 2024. </w:t>
      </w:r>
      <w:r w:rsidRPr="00175FFD">
        <w:rPr>
          <w:rStyle w:val="PiedepginaCar"/>
          <w:rFonts w:ascii="Times New Roman" w:hAnsi="Times New Roman" w:cs="Times New Roman"/>
          <w:sz w:val="24"/>
          <w:szCs w:val="24"/>
          <w:lang w:val="en-US"/>
        </w:rPr>
        <w:t> </w:t>
      </w:r>
    </w:p>
    <w:p w14:paraId="35B1A8D8" w14:textId="77777777" w:rsidR="00FD65A7" w:rsidRPr="00175FFD" w:rsidRDefault="00FD65A7"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Yang H, Li S, Le W. Intestinal permeability, dysbiosis, inflammation and enteric glia cells: The intestinal etiology of Parkinson’s disease. </w:t>
      </w:r>
      <w:r w:rsidRPr="00175FFD">
        <w:rPr>
          <w:rStyle w:val="s1"/>
          <w:rFonts w:ascii="Times New Roman" w:hAnsi="Times New Roman" w:cs="Times New Roman"/>
          <w:sz w:val="24"/>
          <w:szCs w:val="24"/>
        </w:rPr>
        <w:t>Aging Dis</w:t>
      </w:r>
      <w:r w:rsidRPr="00175FFD">
        <w:rPr>
          <w:rFonts w:ascii="Times New Roman" w:hAnsi="Times New Roman" w:cs="Times New Roman"/>
          <w:sz w:val="24"/>
          <w:szCs w:val="24"/>
        </w:rPr>
        <w:t xml:space="preserve">. 2022;13(5):1381-1390. </w:t>
      </w:r>
      <w:r w:rsidRPr="00175FFD">
        <w:rPr>
          <w:rStyle w:val="PiedepginaCar"/>
          <w:rFonts w:ascii="Times New Roman" w:hAnsi="Times New Roman" w:cs="Times New Roman"/>
          <w:sz w:val="24"/>
          <w:szCs w:val="24"/>
        </w:rPr>
        <w:t> </w:t>
      </w:r>
    </w:p>
    <w:p w14:paraId="0B611CA8" w14:textId="77777777" w:rsidR="00853738" w:rsidRPr="00175FFD" w:rsidRDefault="00853738"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rPr>
        <w:t xml:space="preserve">Castillo-Álvarez F, Marzo-Sola ME. </w:t>
      </w:r>
      <w:r w:rsidRPr="00175FFD">
        <w:rPr>
          <w:rFonts w:ascii="Times New Roman" w:hAnsi="Times New Roman" w:cs="Times New Roman"/>
          <w:sz w:val="24"/>
          <w:szCs w:val="24"/>
          <w:lang w:val="en-US"/>
        </w:rPr>
        <w:t xml:space="preserve">Role of the gut microbiota in the development of various neurological diseases. </w:t>
      </w:r>
      <w:r w:rsidRPr="00175FFD">
        <w:rPr>
          <w:rStyle w:val="s1"/>
          <w:rFonts w:ascii="Times New Roman" w:hAnsi="Times New Roman" w:cs="Times New Roman"/>
          <w:sz w:val="24"/>
          <w:szCs w:val="24"/>
        </w:rPr>
        <w:t>Neurología (Engl Ed)</w:t>
      </w:r>
      <w:r w:rsidRPr="00175FFD">
        <w:rPr>
          <w:rFonts w:ascii="Times New Roman" w:hAnsi="Times New Roman" w:cs="Times New Roman"/>
          <w:sz w:val="24"/>
          <w:szCs w:val="24"/>
        </w:rPr>
        <w:t xml:space="preserve">. 2022;37(6):492–498. </w:t>
      </w:r>
      <w:r w:rsidRPr="00175FFD">
        <w:rPr>
          <w:rStyle w:val="PiedepginaCar"/>
          <w:rFonts w:ascii="Times New Roman" w:hAnsi="Times New Roman" w:cs="Times New Roman"/>
          <w:sz w:val="24"/>
          <w:szCs w:val="24"/>
        </w:rPr>
        <w:t> </w:t>
      </w:r>
    </w:p>
    <w:p w14:paraId="4C826AD3" w14:textId="08BC5051" w:rsidR="0004261F" w:rsidRPr="00175FFD" w:rsidRDefault="0004261F"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Erny D, Hrabě de Angelis AL, Jaitin D, et al. </w:t>
      </w:r>
      <w:r w:rsidRPr="00175FFD">
        <w:rPr>
          <w:rFonts w:ascii="Times New Roman" w:hAnsi="Times New Roman" w:cs="Times New Roman"/>
          <w:sz w:val="24"/>
          <w:szCs w:val="24"/>
          <w:lang w:val="en-US"/>
        </w:rPr>
        <w:t xml:space="preserve">Host microbiota constantly control maturation and function of microglia in the CNS. </w:t>
      </w:r>
      <w:r w:rsidRPr="00175FFD">
        <w:rPr>
          <w:rStyle w:val="s1"/>
          <w:rFonts w:ascii="Times New Roman" w:hAnsi="Times New Roman" w:cs="Times New Roman"/>
          <w:sz w:val="24"/>
          <w:szCs w:val="24"/>
          <w:lang w:val="en-US"/>
        </w:rPr>
        <w:t>Nat Neurosci</w:t>
      </w:r>
      <w:r w:rsidRPr="00175FFD">
        <w:rPr>
          <w:rFonts w:ascii="Times New Roman" w:hAnsi="Times New Roman" w:cs="Times New Roman"/>
          <w:sz w:val="24"/>
          <w:szCs w:val="24"/>
          <w:lang w:val="en-US"/>
        </w:rPr>
        <w:t>. 20</w:t>
      </w:r>
      <w:r w:rsidR="00664323" w:rsidRPr="00175FFD">
        <w:rPr>
          <w:rFonts w:ascii="Times New Roman" w:hAnsi="Times New Roman" w:cs="Times New Roman"/>
          <w:sz w:val="24"/>
          <w:szCs w:val="24"/>
          <w:lang w:val="en-US"/>
        </w:rPr>
        <w:t>25</w:t>
      </w:r>
      <w:r w:rsidRPr="00175FFD">
        <w:rPr>
          <w:rFonts w:ascii="Times New Roman" w:hAnsi="Times New Roman" w:cs="Times New Roman"/>
          <w:sz w:val="24"/>
          <w:szCs w:val="24"/>
          <w:lang w:val="en-US"/>
        </w:rPr>
        <w:t>;18(7):965–77. https://pubmed.ncbi.nlm.nih.gov/26030851/</w:t>
      </w:r>
    </w:p>
    <w:p w14:paraId="66B82E0D" w14:textId="0DE2AEE3" w:rsidR="0004261F" w:rsidRPr="00175FFD" w:rsidRDefault="0004261F"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Houser MC, Tansey MG. The gut–brain axis: is intestinal inflammation a silent driver of Parkinson’s disease pathogenesis? </w:t>
      </w:r>
      <w:r w:rsidRPr="00175FFD">
        <w:rPr>
          <w:rStyle w:val="s1"/>
          <w:rFonts w:ascii="Times New Roman" w:hAnsi="Times New Roman" w:cs="Times New Roman"/>
          <w:sz w:val="24"/>
          <w:szCs w:val="24"/>
          <w:lang w:val="en-US"/>
        </w:rPr>
        <w:t>NPJ Parkinsons Dis</w:t>
      </w:r>
      <w:r w:rsidRPr="00175FFD">
        <w:rPr>
          <w:rFonts w:ascii="Times New Roman" w:hAnsi="Times New Roman" w:cs="Times New Roman"/>
          <w:sz w:val="24"/>
          <w:szCs w:val="24"/>
          <w:lang w:val="en-US"/>
        </w:rPr>
        <w:t>. 20</w:t>
      </w:r>
      <w:r w:rsidR="00664323" w:rsidRPr="00175FFD">
        <w:rPr>
          <w:rFonts w:ascii="Times New Roman" w:hAnsi="Times New Roman" w:cs="Times New Roman"/>
          <w:sz w:val="24"/>
          <w:szCs w:val="24"/>
          <w:lang w:val="en-US"/>
        </w:rPr>
        <w:t>23</w:t>
      </w:r>
      <w:r w:rsidRPr="00175FFD">
        <w:rPr>
          <w:rFonts w:ascii="Times New Roman" w:hAnsi="Times New Roman" w:cs="Times New Roman"/>
          <w:sz w:val="24"/>
          <w:szCs w:val="24"/>
          <w:lang w:val="en-US"/>
        </w:rPr>
        <w:t>;3:3. https://pubmed.ncbi.nlm.nih.gov/28649641/</w:t>
      </w:r>
    </w:p>
    <w:p w14:paraId="7773376F" w14:textId="1D7B3948" w:rsidR="0004261F" w:rsidRPr="00175FFD" w:rsidRDefault="0004261F"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González-Scarano F, Baltuch G. Microglia as mediators of inflammatory and degenerative diseases. </w:t>
      </w:r>
      <w:r w:rsidRPr="00175FFD">
        <w:rPr>
          <w:rStyle w:val="s1"/>
          <w:rFonts w:ascii="Times New Roman" w:hAnsi="Times New Roman" w:cs="Times New Roman"/>
          <w:sz w:val="24"/>
          <w:szCs w:val="24"/>
        </w:rPr>
        <w:t>Annu Rev Neurosci</w:t>
      </w:r>
      <w:r w:rsidRPr="00175FFD">
        <w:rPr>
          <w:rFonts w:ascii="Times New Roman" w:hAnsi="Times New Roman" w:cs="Times New Roman"/>
          <w:sz w:val="24"/>
          <w:szCs w:val="24"/>
        </w:rPr>
        <w:t>. ;22:219–40. https://pubmed.ncbi.nlm.nih.gov/10202538/</w:t>
      </w:r>
    </w:p>
    <w:p w14:paraId="644B7E52" w14:textId="15BE31EC" w:rsidR="001927EA" w:rsidRPr="00175FFD" w:rsidRDefault="001927E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Dalile B, Van Oudenhove L, Vervliet B, Verbeke K. The role of short-chain fatty acids in microbiota–gut–brain communication. </w:t>
      </w:r>
      <w:r w:rsidRPr="00175FFD">
        <w:rPr>
          <w:rStyle w:val="s1"/>
          <w:rFonts w:ascii="Times New Roman" w:hAnsi="Times New Roman" w:cs="Times New Roman"/>
          <w:sz w:val="24"/>
          <w:szCs w:val="24"/>
        </w:rPr>
        <w:t>Nat Rev Gastroenterol Hepatol</w:t>
      </w:r>
      <w:r w:rsidRPr="00175FFD">
        <w:rPr>
          <w:rFonts w:ascii="Times New Roman" w:hAnsi="Times New Roman" w:cs="Times New Roman"/>
          <w:sz w:val="24"/>
          <w:szCs w:val="24"/>
        </w:rPr>
        <w:t>. 20</w:t>
      </w:r>
      <w:r w:rsidR="00F32F91" w:rsidRPr="00175FFD">
        <w:rPr>
          <w:rFonts w:ascii="Times New Roman" w:hAnsi="Times New Roman" w:cs="Times New Roman"/>
          <w:sz w:val="24"/>
          <w:szCs w:val="24"/>
        </w:rPr>
        <w:t>20</w:t>
      </w:r>
      <w:r w:rsidRPr="00175FFD">
        <w:rPr>
          <w:rFonts w:ascii="Times New Roman" w:hAnsi="Times New Roman" w:cs="Times New Roman"/>
          <w:sz w:val="24"/>
          <w:szCs w:val="24"/>
        </w:rPr>
        <w:t>;16(8):461–78.</w:t>
      </w:r>
      <w:r w:rsidR="00661C54"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https://pubmed.ncbi.nlm.nih.gov/31123355/</w:t>
      </w:r>
    </w:p>
    <w:p w14:paraId="2CF82953" w14:textId="5177C8B9" w:rsidR="001927EA" w:rsidRPr="00175FFD" w:rsidRDefault="001927E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Silva YP, Bernardi A, Frozza RL. The role of short-chain fatty acids from gut microbiota in gut–brain communication. </w:t>
      </w:r>
      <w:r w:rsidRPr="00175FFD">
        <w:rPr>
          <w:rStyle w:val="s1"/>
          <w:rFonts w:ascii="Times New Roman" w:hAnsi="Times New Roman" w:cs="Times New Roman"/>
          <w:sz w:val="24"/>
          <w:szCs w:val="24"/>
        </w:rPr>
        <w:t>Front Endocrinol</w:t>
      </w:r>
      <w:r w:rsidRPr="00175FFD">
        <w:rPr>
          <w:rFonts w:ascii="Times New Roman" w:hAnsi="Times New Roman" w:cs="Times New Roman"/>
          <w:sz w:val="24"/>
          <w:szCs w:val="24"/>
        </w:rPr>
        <w:t>. 2020;11:25.</w:t>
      </w:r>
      <w:r w:rsidR="00661C54"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https://pubmed.ncbi.nlm.nih.gov/32082260/</w:t>
      </w:r>
    </w:p>
    <w:p w14:paraId="4D6D1971" w14:textId="1D571B7F" w:rsidR="001927EA" w:rsidRPr="00175FFD" w:rsidRDefault="001927E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Agus A, Planchais J, Sokol H. Gut microbiota regulation of tryptophan metabolism in health and disease. </w:t>
      </w:r>
      <w:r w:rsidRPr="00175FFD">
        <w:rPr>
          <w:rStyle w:val="s1"/>
          <w:rFonts w:ascii="Times New Roman" w:hAnsi="Times New Roman" w:cs="Times New Roman"/>
          <w:sz w:val="24"/>
          <w:szCs w:val="24"/>
        </w:rPr>
        <w:t>Cell Host Microbe</w:t>
      </w:r>
      <w:r w:rsidRPr="00175FFD">
        <w:rPr>
          <w:rFonts w:ascii="Times New Roman" w:hAnsi="Times New Roman" w:cs="Times New Roman"/>
          <w:sz w:val="24"/>
          <w:szCs w:val="24"/>
        </w:rPr>
        <w:t>. 20</w:t>
      </w:r>
      <w:r w:rsidR="00F337FA" w:rsidRPr="00175FFD">
        <w:rPr>
          <w:rFonts w:ascii="Times New Roman" w:hAnsi="Times New Roman" w:cs="Times New Roman"/>
          <w:sz w:val="24"/>
          <w:szCs w:val="24"/>
        </w:rPr>
        <w:t>21</w:t>
      </w:r>
      <w:r w:rsidRPr="00175FFD">
        <w:rPr>
          <w:rFonts w:ascii="Times New Roman" w:hAnsi="Times New Roman" w:cs="Times New Roman"/>
          <w:sz w:val="24"/>
          <w:szCs w:val="24"/>
        </w:rPr>
        <w:t>;23(6):716–24.</w:t>
      </w:r>
      <w:r w:rsidR="00661C54"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https://pubmed.ncbi.nlm.nih.gov/29902437/</w:t>
      </w:r>
    </w:p>
    <w:p w14:paraId="61D92D41" w14:textId="39FC765C" w:rsidR="001927EA" w:rsidRPr="00175FFD" w:rsidRDefault="001927E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lastRenderedPageBreak/>
        <w:t xml:space="preserve">Sharon G, Sampson TR, Geschwind DH, Mazmanian SK. The central nervous system and the gut microbiome. </w:t>
      </w:r>
      <w:r w:rsidRPr="00175FFD">
        <w:rPr>
          <w:rStyle w:val="s1"/>
          <w:rFonts w:ascii="Times New Roman" w:hAnsi="Times New Roman" w:cs="Times New Roman"/>
          <w:sz w:val="24"/>
          <w:szCs w:val="24"/>
        </w:rPr>
        <w:t>Cell</w:t>
      </w:r>
      <w:r w:rsidRPr="00175FFD">
        <w:rPr>
          <w:rFonts w:ascii="Times New Roman" w:hAnsi="Times New Roman" w:cs="Times New Roman"/>
          <w:sz w:val="24"/>
          <w:szCs w:val="24"/>
        </w:rPr>
        <w:t>. 20</w:t>
      </w:r>
      <w:r w:rsidR="00F337FA" w:rsidRPr="00175FFD">
        <w:rPr>
          <w:rFonts w:ascii="Times New Roman" w:hAnsi="Times New Roman" w:cs="Times New Roman"/>
          <w:sz w:val="24"/>
          <w:szCs w:val="24"/>
        </w:rPr>
        <w:t>20</w:t>
      </w:r>
      <w:r w:rsidRPr="00175FFD">
        <w:rPr>
          <w:rFonts w:ascii="Times New Roman" w:hAnsi="Times New Roman" w:cs="Times New Roman"/>
          <w:sz w:val="24"/>
          <w:szCs w:val="24"/>
        </w:rPr>
        <w:t>;167(4):915–32.</w:t>
      </w:r>
      <w:r w:rsidR="00661C54"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https://pubmed.ncbi.nlm.nih.gov/27814521/</w:t>
      </w:r>
    </w:p>
    <w:p w14:paraId="0BF2C75D" w14:textId="1348CA66" w:rsidR="001927EA" w:rsidRPr="00175FFD" w:rsidRDefault="001927E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Kowalski K, Mulak A. Brain–gut–microbiota axis in Alzheimer’s disease. </w:t>
      </w:r>
      <w:r w:rsidRPr="00175FFD">
        <w:rPr>
          <w:rStyle w:val="s1"/>
          <w:rFonts w:ascii="Times New Roman" w:hAnsi="Times New Roman" w:cs="Times New Roman"/>
          <w:sz w:val="24"/>
          <w:szCs w:val="24"/>
        </w:rPr>
        <w:t>J Neurogastroenterol Motil</w:t>
      </w:r>
      <w:r w:rsidRPr="00175FFD">
        <w:rPr>
          <w:rFonts w:ascii="Times New Roman" w:hAnsi="Times New Roman" w:cs="Times New Roman"/>
          <w:sz w:val="24"/>
          <w:szCs w:val="24"/>
        </w:rPr>
        <w:t>. 20</w:t>
      </w:r>
      <w:r w:rsidR="00F337FA" w:rsidRPr="00175FFD">
        <w:rPr>
          <w:rFonts w:ascii="Times New Roman" w:hAnsi="Times New Roman" w:cs="Times New Roman"/>
          <w:sz w:val="24"/>
          <w:szCs w:val="24"/>
        </w:rPr>
        <w:t>20</w:t>
      </w:r>
      <w:r w:rsidRPr="00175FFD">
        <w:rPr>
          <w:rFonts w:ascii="Times New Roman" w:hAnsi="Times New Roman" w:cs="Times New Roman"/>
          <w:sz w:val="24"/>
          <w:szCs w:val="24"/>
        </w:rPr>
        <w:t>;25(1):48–60.</w:t>
      </w:r>
      <w:r w:rsidR="00661C54"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https://pubmed.ncbi.nlm.nih.gov/30646459/</w:t>
      </w:r>
    </w:p>
    <w:p w14:paraId="3423E117" w14:textId="6FF8A4DC" w:rsidR="00661C54" w:rsidRPr="00175FFD" w:rsidRDefault="00661C54"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Svensson E, Horváth-Puhó E, Thomsen RW, et al. </w:t>
      </w:r>
      <w:r w:rsidRPr="00175FFD">
        <w:rPr>
          <w:rFonts w:ascii="Times New Roman" w:hAnsi="Times New Roman" w:cs="Times New Roman"/>
          <w:sz w:val="24"/>
          <w:szCs w:val="24"/>
          <w:lang w:val="en-US"/>
        </w:rPr>
        <w:t xml:space="preserve">Vagotomy and subsequent risk of Parkinson’s disease. </w:t>
      </w:r>
      <w:r w:rsidRPr="00175FFD">
        <w:rPr>
          <w:rStyle w:val="s1"/>
          <w:rFonts w:ascii="Times New Roman" w:hAnsi="Times New Roman" w:cs="Times New Roman"/>
          <w:sz w:val="24"/>
          <w:szCs w:val="24"/>
          <w:lang w:val="en-US"/>
        </w:rPr>
        <w:t>Ann Neurol</w:t>
      </w:r>
      <w:r w:rsidRPr="00175FFD">
        <w:rPr>
          <w:rFonts w:ascii="Times New Roman" w:hAnsi="Times New Roman" w:cs="Times New Roman"/>
          <w:sz w:val="24"/>
          <w:szCs w:val="24"/>
          <w:lang w:val="en-US"/>
        </w:rPr>
        <w:t>. 2015;78(4):522–9.</w:t>
      </w:r>
      <w:r w:rsidR="00CD6132"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lang w:val="en-US"/>
        </w:rPr>
        <w:t>https://pubmed.ncbi.nlm.nih.gov/26031848/</w:t>
      </w:r>
    </w:p>
    <w:p w14:paraId="28540C0B" w14:textId="45784D1F" w:rsidR="00661C54" w:rsidRPr="00175FFD" w:rsidRDefault="00661C54"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Bonaz B, Sinniger V, Pellissier S. Vagus nerve stimulation: a new promising therapeutic tool in inflammatory bowel disease. </w:t>
      </w:r>
      <w:r w:rsidRPr="00175FFD">
        <w:rPr>
          <w:rStyle w:val="s1"/>
          <w:rFonts w:ascii="Times New Roman" w:hAnsi="Times New Roman" w:cs="Times New Roman"/>
          <w:sz w:val="24"/>
          <w:szCs w:val="24"/>
        </w:rPr>
        <w:t>J Intern Med</w:t>
      </w:r>
      <w:r w:rsidRPr="00175FFD">
        <w:rPr>
          <w:rFonts w:ascii="Times New Roman" w:hAnsi="Times New Roman" w:cs="Times New Roman"/>
          <w:sz w:val="24"/>
          <w:szCs w:val="24"/>
        </w:rPr>
        <w:t>. 20</w:t>
      </w:r>
      <w:r w:rsidR="00132AB4" w:rsidRPr="00175FFD">
        <w:rPr>
          <w:rFonts w:ascii="Times New Roman" w:hAnsi="Times New Roman" w:cs="Times New Roman"/>
          <w:sz w:val="24"/>
          <w:szCs w:val="24"/>
        </w:rPr>
        <w:t>20</w:t>
      </w:r>
      <w:r w:rsidRPr="00175FFD">
        <w:rPr>
          <w:rFonts w:ascii="Times New Roman" w:hAnsi="Times New Roman" w:cs="Times New Roman"/>
          <w:sz w:val="24"/>
          <w:szCs w:val="24"/>
        </w:rPr>
        <w:t>;282(1):46–63.</w:t>
      </w:r>
      <w:r w:rsidR="00CD6132"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https://pubmed.ncbi.nlm.nih.gov/28452150/</w:t>
      </w:r>
    </w:p>
    <w:p w14:paraId="3F52C75D" w14:textId="790D384F" w:rsidR="00661C54" w:rsidRPr="00175FFD" w:rsidRDefault="00661C54"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Browning KN, Travagli RA. Central nervous system control of gastrointestinal motility and secretion and modulation of gastrointestinal functions. </w:t>
      </w:r>
      <w:r w:rsidRPr="00175FFD">
        <w:rPr>
          <w:rStyle w:val="s1"/>
          <w:rFonts w:ascii="Times New Roman" w:hAnsi="Times New Roman" w:cs="Times New Roman"/>
          <w:sz w:val="24"/>
          <w:szCs w:val="24"/>
        </w:rPr>
        <w:t>Compr Physiol</w:t>
      </w:r>
      <w:r w:rsidRPr="00175FFD">
        <w:rPr>
          <w:rFonts w:ascii="Times New Roman" w:hAnsi="Times New Roman" w:cs="Times New Roman"/>
          <w:sz w:val="24"/>
          <w:szCs w:val="24"/>
        </w:rPr>
        <w:t>. 20</w:t>
      </w:r>
      <w:r w:rsidR="00132AB4" w:rsidRPr="00175FFD">
        <w:rPr>
          <w:rFonts w:ascii="Times New Roman" w:hAnsi="Times New Roman" w:cs="Times New Roman"/>
          <w:sz w:val="24"/>
          <w:szCs w:val="24"/>
        </w:rPr>
        <w:t>21</w:t>
      </w:r>
      <w:r w:rsidRPr="00175FFD">
        <w:rPr>
          <w:rFonts w:ascii="Times New Roman" w:hAnsi="Times New Roman" w:cs="Times New Roman"/>
          <w:sz w:val="24"/>
          <w:szCs w:val="24"/>
        </w:rPr>
        <w:t>;4(4):1339–68.</w:t>
      </w:r>
      <w:r w:rsidR="00CD6132" w:rsidRPr="00175FFD">
        <w:rPr>
          <w:rFonts w:ascii="Times New Roman" w:hAnsi="Times New Roman" w:cs="Times New Roman"/>
          <w:sz w:val="24"/>
          <w:szCs w:val="24"/>
        </w:rPr>
        <w:t xml:space="preserve"> </w:t>
      </w:r>
      <w:r w:rsidRPr="00175FFD">
        <w:rPr>
          <w:rFonts w:ascii="Times New Roman" w:hAnsi="Times New Roman" w:cs="Times New Roman"/>
          <w:sz w:val="24"/>
          <w:szCs w:val="24"/>
        </w:rPr>
        <w:t>https://pubmed.ncbi.nlm.nih.gov/25428845/</w:t>
      </w:r>
    </w:p>
    <w:p w14:paraId="1014FFFF" w14:textId="19C51DFC" w:rsidR="008065FA" w:rsidRPr="00175FFD" w:rsidRDefault="008065F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Belkaid Y, Hand TW. Role of the microbiota in immunity and inflammation. </w:t>
      </w:r>
      <w:r w:rsidRPr="00175FFD">
        <w:rPr>
          <w:rStyle w:val="s1"/>
          <w:rFonts w:ascii="Times New Roman" w:hAnsi="Times New Roman" w:cs="Times New Roman"/>
          <w:sz w:val="24"/>
          <w:szCs w:val="24"/>
        </w:rPr>
        <w:t>Cell</w:t>
      </w:r>
      <w:r w:rsidRPr="00175FFD">
        <w:rPr>
          <w:rFonts w:ascii="Times New Roman" w:hAnsi="Times New Roman" w:cs="Times New Roman"/>
          <w:sz w:val="24"/>
          <w:szCs w:val="24"/>
        </w:rPr>
        <w:t>2014;157(1):121–41. https://pubmed.ncbi.nlm.nih.gov/24679531/</w:t>
      </w:r>
    </w:p>
    <w:p w14:paraId="6BA6F33E" w14:textId="3F45900A" w:rsidR="008065FA" w:rsidRPr="00175FFD" w:rsidRDefault="008065FA"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Honda K, Littman DR. The microbiota in adaptive immune homeostasis and disease. </w:t>
      </w:r>
      <w:r w:rsidRPr="00175FFD">
        <w:rPr>
          <w:rStyle w:val="s1"/>
          <w:rFonts w:ascii="Times New Roman" w:hAnsi="Times New Roman" w:cs="Times New Roman"/>
          <w:sz w:val="24"/>
          <w:szCs w:val="24"/>
          <w:lang w:val="en-US"/>
        </w:rPr>
        <w:t>Nature</w:t>
      </w:r>
      <w:r w:rsidRPr="00175FFD">
        <w:rPr>
          <w:rFonts w:ascii="Times New Roman" w:hAnsi="Times New Roman" w:cs="Times New Roman"/>
          <w:sz w:val="24"/>
          <w:szCs w:val="24"/>
          <w:lang w:val="en-US"/>
        </w:rPr>
        <w:t>. ;535(7610):75–84. https://pubmed.ncbi.nlm.nih.gov/27383982/</w:t>
      </w:r>
    </w:p>
    <w:p w14:paraId="651FC637" w14:textId="0C01F84B" w:rsidR="008065FA" w:rsidRPr="00175FFD" w:rsidRDefault="008065F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Rothhammer V, Quintana FJ. Environmental control of autoimmune inflammation in the CNS. </w:t>
      </w:r>
      <w:r w:rsidRPr="00175FFD">
        <w:rPr>
          <w:rStyle w:val="s1"/>
          <w:rFonts w:ascii="Times New Roman" w:hAnsi="Times New Roman" w:cs="Times New Roman"/>
          <w:sz w:val="24"/>
          <w:szCs w:val="24"/>
        </w:rPr>
        <w:t>Curr Opin Immunol</w:t>
      </w:r>
      <w:r w:rsidRPr="00175FFD">
        <w:rPr>
          <w:rFonts w:ascii="Times New Roman" w:hAnsi="Times New Roman" w:cs="Times New Roman"/>
          <w:sz w:val="24"/>
          <w:szCs w:val="24"/>
        </w:rPr>
        <w:t>. 2016;43:46–52. https://pubmed.ncbi.nlm.nih.gov/27567751/</w:t>
      </w:r>
    </w:p>
    <w:p w14:paraId="288E18E5" w14:textId="4994AE1F" w:rsidR="008065FA" w:rsidRPr="00175FFD" w:rsidRDefault="008065FA"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Dendrou CA, Fugger L, Friese MA. Immunopathology of multiple sclerosis. </w:t>
      </w:r>
      <w:r w:rsidRPr="00175FFD">
        <w:rPr>
          <w:rStyle w:val="s1"/>
          <w:rFonts w:ascii="Times New Roman" w:hAnsi="Times New Roman" w:cs="Times New Roman"/>
          <w:sz w:val="24"/>
          <w:szCs w:val="24"/>
          <w:lang w:val="en-US"/>
        </w:rPr>
        <w:t>Nat Rev Immunol</w:t>
      </w:r>
      <w:r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rPr>
        <w:t>2015;15(9):545–58. https://pubmed.ncbi.nlm.nih.gov/26250739/</w:t>
      </w:r>
    </w:p>
    <w:p w14:paraId="1EA86BF3" w14:textId="71B17D83" w:rsidR="008065FA" w:rsidRPr="00175FFD" w:rsidRDefault="008065FA"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Gate D, Saligrama N, Leventhal O, et al. </w:t>
      </w:r>
      <w:r w:rsidRPr="00175FFD">
        <w:rPr>
          <w:rFonts w:ascii="Times New Roman" w:hAnsi="Times New Roman" w:cs="Times New Roman"/>
          <w:sz w:val="24"/>
          <w:szCs w:val="24"/>
          <w:lang w:val="en-US"/>
        </w:rPr>
        <w:t xml:space="preserve">Clonally expanded CD8 T cells patrol the cerebrospinal fluid in Alzheimer’s disease. </w:t>
      </w:r>
      <w:r w:rsidRPr="00175FFD">
        <w:rPr>
          <w:rStyle w:val="s1"/>
          <w:rFonts w:ascii="Times New Roman" w:hAnsi="Times New Roman" w:cs="Times New Roman"/>
          <w:sz w:val="24"/>
          <w:szCs w:val="24"/>
          <w:lang w:val="en-US"/>
        </w:rPr>
        <w:t>Nature</w:t>
      </w:r>
      <w:r w:rsidRPr="00175FFD">
        <w:rPr>
          <w:rFonts w:ascii="Times New Roman" w:hAnsi="Times New Roman" w:cs="Times New Roman"/>
          <w:sz w:val="24"/>
          <w:szCs w:val="24"/>
          <w:lang w:val="en-US"/>
        </w:rPr>
        <w:t>. 2020;577(7790):399–404. https://pubmed.ncbi.nlm.nih.gov/31915382/</w:t>
      </w:r>
    </w:p>
    <w:p w14:paraId="3A27310E" w14:textId="77777777" w:rsidR="00C208AB" w:rsidRPr="00175FFD" w:rsidRDefault="00C208A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lastRenderedPageBreak/>
        <w:t xml:space="preserve">Liang Y, Liu C, Cheng M, et al. The link between gut microbiome and Alzheimer’s disease: from diagnostic and staging criteria. </w:t>
      </w:r>
      <w:r w:rsidRPr="00175FFD">
        <w:rPr>
          <w:rStyle w:val="s1"/>
          <w:rFonts w:ascii="Times New Roman" w:hAnsi="Times New Roman" w:cs="Times New Roman"/>
          <w:sz w:val="24"/>
          <w:szCs w:val="24"/>
          <w:lang w:val="en-US"/>
        </w:rPr>
        <w:t>Alzheimers Dement</w:t>
      </w:r>
      <w:r w:rsidRPr="00175FFD">
        <w:rPr>
          <w:rFonts w:ascii="Times New Roman" w:hAnsi="Times New Roman" w:cs="Times New Roman"/>
          <w:sz w:val="24"/>
          <w:szCs w:val="24"/>
          <w:lang w:val="en-US"/>
        </w:rPr>
        <w:t>. 2024;20(8):5771–5788. doi:10.1002/alz.14057</w:t>
      </w:r>
      <w:r w:rsidRPr="00175FFD">
        <w:rPr>
          <w:rStyle w:val="PiedepginaCar"/>
          <w:rFonts w:ascii="Times New Roman" w:hAnsi="Times New Roman" w:cs="Times New Roman"/>
          <w:sz w:val="24"/>
          <w:szCs w:val="24"/>
          <w:lang w:val="en-US"/>
        </w:rPr>
        <w:t xml:space="preserve">  </w:t>
      </w:r>
    </w:p>
    <w:p w14:paraId="0C91AEB2" w14:textId="77777777" w:rsidR="00C208AB" w:rsidRPr="00175FFD" w:rsidRDefault="00C208A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rPr>
        <w:t xml:space="preserve">Borrego-Ruiz A, Borrego JJ. </w:t>
      </w:r>
      <w:r w:rsidRPr="00175FFD">
        <w:rPr>
          <w:rFonts w:ascii="Times New Roman" w:hAnsi="Times New Roman" w:cs="Times New Roman"/>
          <w:sz w:val="24"/>
          <w:szCs w:val="24"/>
          <w:lang w:val="en-US"/>
        </w:rPr>
        <w:t xml:space="preserve">The role of the gut microbiome in Alzheimer’s disease pathophysiology. </w:t>
      </w:r>
      <w:r w:rsidRPr="00175FFD">
        <w:rPr>
          <w:rStyle w:val="s1"/>
          <w:rFonts w:ascii="Times New Roman" w:hAnsi="Times New Roman" w:cs="Times New Roman"/>
          <w:sz w:val="24"/>
          <w:szCs w:val="24"/>
          <w:lang w:val="en-US"/>
        </w:rPr>
        <w:t>Curr Opin Neurol</w:t>
      </w:r>
      <w:r w:rsidRPr="00175FFD">
        <w:rPr>
          <w:rFonts w:ascii="Times New Roman" w:hAnsi="Times New Roman" w:cs="Times New Roman"/>
          <w:sz w:val="24"/>
          <w:szCs w:val="24"/>
          <w:lang w:val="en-US"/>
        </w:rPr>
        <w:t>. 2025;38(2):157–162. doi:10.1097/WCO.0000000000001352</w:t>
      </w:r>
      <w:r w:rsidRPr="00175FFD">
        <w:rPr>
          <w:rStyle w:val="PiedepginaCar"/>
          <w:rFonts w:ascii="Times New Roman" w:hAnsi="Times New Roman" w:cs="Times New Roman"/>
          <w:sz w:val="24"/>
          <w:szCs w:val="24"/>
          <w:lang w:val="en-US"/>
        </w:rPr>
        <w:t xml:space="preserve">  </w:t>
      </w:r>
    </w:p>
    <w:p w14:paraId="4BE79684" w14:textId="77777777" w:rsidR="00C208AB" w:rsidRPr="00175FFD" w:rsidRDefault="00C208A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Liu S, Gao J, Zhu M, et al. Gut microbiota and dysbiosis in Alzheimer’s disease: implications for pathogenesis and treatment. </w:t>
      </w:r>
      <w:r w:rsidRPr="00175FFD">
        <w:rPr>
          <w:rStyle w:val="s1"/>
          <w:rFonts w:ascii="Times New Roman" w:hAnsi="Times New Roman" w:cs="Times New Roman"/>
          <w:sz w:val="24"/>
          <w:szCs w:val="24"/>
          <w:lang w:val="en-US"/>
        </w:rPr>
        <w:t>Mol Neurobiol</w:t>
      </w:r>
      <w:r w:rsidRPr="00175FFD">
        <w:rPr>
          <w:rFonts w:ascii="Times New Roman" w:hAnsi="Times New Roman" w:cs="Times New Roman"/>
          <w:sz w:val="24"/>
          <w:szCs w:val="24"/>
          <w:lang w:val="en-US"/>
        </w:rPr>
        <w:t>. 2020;57(12):5026–5043. doi:10.1007/s12035-020-02073-3</w:t>
      </w:r>
      <w:r w:rsidRPr="00175FFD">
        <w:rPr>
          <w:rStyle w:val="PiedepginaCar"/>
          <w:rFonts w:ascii="Times New Roman" w:hAnsi="Times New Roman" w:cs="Times New Roman"/>
          <w:sz w:val="24"/>
          <w:szCs w:val="24"/>
          <w:lang w:val="en-US"/>
        </w:rPr>
        <w:t xml:space="preserve">  </w:t>
      </w:r>
    </w:p>
    <w:p w14:paraId="0E86141B" w14:textId="77777777" w:rsidR="00C208AB" w:rsidRPr="00175FFD" w:rsidRDefault="00C208AB" w:rsidP="00EC5030">
      <w:pPr>
        <w:numPr>
          <w:ilvl w:val="0"/>
          <w:numId w:val="9"/>
        </w:numPr>
        <w:spacing w:line="360" w:lineRule="auto"/>
        <w:jc w:val="both"/>
        <w:rPr>
          <w:rFonts w:ascii="Times New Roman" w:hAnsi="Times New Roman" w:cs="Times New Roman"/>
          <w:sz w:val="24"/>
          <w:szCs w:val="24"/>
          <w:lang w:val="en-US"/>
        </w:rPr>
      </w:pPr>
      <w:r w:rsidRPr="00175FFD">
        <w:rPr>
          <w:rFonts w:ascii="Times New Roman" w:hAnsi="Times New Roman" w:cs="Times New Roman"/>
          <w:sz w:val="24"/>
          <w:szCs w:val="24"/>
          <w:lang w:val="en-US"/>
        </w:rPr>
        <w:t xml:space="preserve">Jemimah S, Musthafa CM, Hadjileontiadis L, et al. Gut microbiome dysbiosis in Alzheimer’s disease and mild cognitive impairment: a systematic review and meta-analysis. </w:t>
      </w:r>
      <w:r w:rsidRPr="00175FFD">
        <w:rPr>
          <w:rStyle w:val="s1"/>
          <w:rFonts w:ascii="Times New Roman" w:hAnsi="Times New Roman" w:cs="Times New Roman"/>
          <w:sz w:val="24"/>
          <w:szCs w:val="24"/>
          <w:lang w:val="en-US"/>
        </w:rPr>
        <w:t>PLoS One</w:t>
      </w:r>
      <w:r w:rsidRPr="00175FFD">
        <w:rPr>
          <w:rFonts w:ascii="Times New Roman" w:hAnsi="Times New Roman" w:cs="Times New Roman"/>
          <w:sz w:val="24"/>
          <w:szCs w:val="24"/>
          <w:lang w:val="en-US"/>
        </w:rPr>
        <w:t>. 2023;18(5):e0285346. doi:10.1371/journal.pone.0285346</w:t>
      </w:r>
      <w:r w:rsidRPr="00175FFD">
        <w:rPr>
          <w:rStyle w:val="PiedepginaCar"/>
          <w:rFonts w:ascii="Times New Roman" w:hAnsi="Times New Roman" w:cs="Times New Roman"/>
          <w:sz w:val="24"/>
          <w:szCs w:val="24"/>
          <w:lang w:val="en-US"/>
        </w:rPr>
        <w:t xml:space="preserve">  </w:t>
      </w:r>
    </w:p>
    <w:p w14:paraId="48BE1498" w14:textId="229946C6" w:rsidR="00C208AB" w:rsidRPr="00175FFD" w:rsidRDefault="00C208A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MDPI Autors. Influence of the gut microbiota on the pathogenesis of Alzheimer’s disease: a literature review. </w:t>
      </w:r>
      <w:r w:rsidRPr="00175FFD">
        <w:rPr>
          <w:rStyle w:val="s1"/>
          <w:rFonts w:ascii="Times New Roman" w:hAnsi="Times New Roman" w:cs="Times New Roman"/>
          <w:sz w:val="24"/>
          <w:szCs w:val="24"/>
        </w:rPr>
        <w:t>Cells</w:t>
      </w:r>
      <w:r w:rsidRPr="00175FFD">
        <w:rPr>
          <w:rFonts w:ascii="Times New Roman" w:hAnsi="Times New Roman" w:cs="Times New Roman"/>
          <w:sz w:val="24"/>
          <w:szCs w:val="24"/>
        </w:rPr>
        <w:t>. 2024;14(20):1578.</w:t>
      </w:r>
      <w:r w:rsidRPr="00175FFD">
        <w:rPr>
          <w:rStyle w:val="PiedepginaCar"/>
          <w:rFonts w:ascii="Times New Roman" w:hAnsi="Times New Roman" w:cs="Times New Roman"/>
          <w:sz w:val="24"/>
          <w:szCs w:val="24"/>
        </w:rPr>
        <w:t xml:space="preserve">  </w:t>
      </w:r>
      <w:r w:rsidR="008956C3" w:rsidRPr="008956C3">
        <w:rPr>
          <w:rStyle w:val="PiedepginaCar"/>
          <w:rFonts w:ascii="Times New Roman" w:hAnsi="Times New Roman" w:cs="Times New Roman"/>
          <w:sz w:val="24"/>
          <w:szCs w:val="24"/>
        </w:rPr>
        <w:t>https://pubmed.ncbi.nlm.nih.gov/41148793/</w:t>
      </w:r>
    </w:p>
    <w:p w14:paraId="3F28DB51" w14:textId="67576F51" w:rsidR="00C208AB" w:rsidRPr="00175FFD" w:rsidRDefault="00C208A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rPr>
        <w:t xml:space="preserve">Bello-Corral R, Ticinesi A, et al. </w:t>
      </w:r>
      <w:r w:rsidRPr="00175FFD">
        <w:rPr>
          <w:rFonts w:ascii="Times New Roman" w:hAnsi="Times New Roman" w:cs="Times New Roman"/>
          <w:sz w:val="24"/>
          <w:szCs w:val="24"/>
          <w:lang w:val="en-US"/>
        </w:rPr>
        <w:t xml:space="preserve">Association between gut microbial dysbiosis and Alzheimer’s disease: an umbrella review. </w:t>
      </w:r>
      <w:r w:rsidRPr="00175FFD">
        <w:rPr>
          <w:rStyle w:val="s1"/>
          <w:rFonts w:ascii="Times New Roman" w:hAnsi="Times New Roman" w:cs="Times New Roman"/>
          <w:sz w:val="24"/>
          <w:szCs w:val="24"/>
          <w:lang w:val="en-US"/>
        </w:rPr>
        <w:t>npj Dement</w:t>
      </w:r>
      <w:r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rPr>
        <w:t>2025;</w:t>
      </w:r>
      <w:r w:rsidRPr="00175FFD">
        <w:rPr>
          <w:rStyle w:val="PiedepginaCar"/>
          <w:rFonts w:ascii="Times New Roman" w:hAnsi="Times New Roman" w:cs="Times New Roman"/>
          <w:sz w:val="24"/>
          <w:szCs w:val="24"/>
        </w:rPr>
        <w:t xml:space="preserve">  </w:t>
      </w:r>
      <w:r w:rsidR="00BD03B5" w:rsidRPr="00BD03B5">
        <w:rPr>
          <w:rStyle w:val="PiedepginaCar"/>
          <w:rFonts w:ascii="Times New Roman" w:hAnsi="Times New Roman" w:cs="Times New Roman"/>
          <w:sz w:val="24"/>
          <w:szCs w:val="24"/>
        </w:rPr>
        <w:t>https://www.nature.com/articles/s44400-025-00048-6.pdf</w:t>
      </w:r>
    </w:p>
    <w:p w14:paraId="1D7292F0" w14:textId="4DFE4708" w:rsidR="00C208AB" w:rsidRPr="00175FFD" w:rsidRDefault="00C208AB"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Harach T, Marungruang N, Dutilleul N, et al. Reduction of Alzheimer’s disease </w:t>
      </w:r>
      <w:r w:rsidRPr="00175FFD">
        <w:rPr>
          <w:rFonts w:ascii="Times New Roman" w:hAnsi="Times New Roman" w:cs="Times New Roman"/>
          <w:sz w:val="24"/>
          <w:szCs w:val="24"/>
        </w:rPr>
        <w:t>β</w:t>
      </w:r>
      <w:r w:rsidRPr="00175FFD">
        <w:rPr>
          <w:rFonts w:ascii="Times New Roman" w:hAnsi="Times New Roman" w:cs="Times New Roman"/>
          <w:sz w:val="24"/>
          <w:szCs w:val="24"/>
          <w:lang w:val="en-US"/>
        </w:rPr>
        <w:t xml:space="preserve">-amyloid pathology in the absence of gut microbiota. </w:t>
      </w:r>
      <w:r w:rsidRPr="00175FFD">
        <w:rPr>
          <w:rStyle w:val="s1"/>
          <w:rFonts w:ascii="Times New Roman" w:hAnsi="Times New Roman" w:cs="Times New Roman"/>
          <w:sz w:val="24"/>
          <w:szCs w:val="24"/>
          <w:lang w:val="en-US"/>
        </w:rPr>
        <w:t>bioRxiv</w:t>
      </w:r>
      <w:r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rPr>
        <w:t>2015; preprint.</w:t>
      </w:r>
      <w:r w:rsidRPr="00175FFD">
        <w:rPr>
          <w:rStyle w:val="PiedepginaCar"/>
          <w:rFonts w:ascii="Times New Roman" w:hAnsi="Times New Roman" w:cs="Times New Roman"/>
          <w:sz w:val="24"/>
          <w:szCs w:val="24"/>
        </w:rPr>
        <w:t> </w:t>
      </w:r>
      <w:r w:rsidR="0018638C" w:rsidRPr="0018638C">
        <w:rPr>
          <w:rStyle w:val="PiedepginaCar"/>
          <w:rFonts w:ascii="Times New Roman" w:hAnsi="Times New Roman" w:cs="Times New Roman"/>
          <w:sz w:val="24"/>
          <w:szCs w:val="24"/>
        </w:rPr>
        <w:t>https://www.biorxiv.org/content/10.1101/030106v1</w:t>
      </w:r>
    </w:p>
    <w:p w14:paraId="2B3B8A3C" w14:textId="77777777" w:rsidR="00287368" w:rsidRPr="00175FFD" w:rsidRDefault="00287368"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rPr>
        <w:t xml:space="preserve">Martinez Cardenas V, Mena Miranda VR. </w:t>
      </w:r>
      <w:r w:rsidRPr="00175FFD">
        <w:rPr>
          <w:rStyle w:val="s1"/>
          <w:rFonts w:ascii="Times New Roman" w:hAnsi="Times New Roman" w:cs="Times New Roman"/>
          <w:sz w:val="24"/>
          <w:szCs w:val="24"/>
        </w:rPr>
        <w:t>Microbiota intestinal y eje intestino-cerebro: una revisión de su interacción con el sistema nervioso central</w:t>
      </w:r>
      <w:r w:rsidRPr="00175FFD">
        <w:rPr>
          <w:rFonts w:ascii="Times New Roman" w:hAnsi="Times New Roman" w:cs="Times New Roman"/>
          <w:sz w:val="24"/>
          <w:szCs w:val="24"/>
        </w:rPr>
        <w:t xml:space="preserve">. Nutrición Clínica y Dietética Hospitalaria. 2025. DOI:10.12873/1087Martinez. </w:t>
      </w:r>
      <w:r w:rsidRPr="00175FFD">
        <w:rPr>
          <w:rStyle w:val="PiedepginaCar"/>
          <w:rFonts w:ascii="Times New Roman" w:hAnsi="Times New Roman" w:cs="Times New Roman"/>
          <w:sz w:val="24"/>
          <w:szCs w:val="24"/>
        </w:rPr>
        <w:t> </w:t>
      </w:r>
    </w:p>
    <w:p w14:paraId="4D4ED3FA" w14:textId="7090E458" w:rsidR="004163CC" w:rsidRPr="00175FFD" w:rsidRDefault="004163CC"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Frontiers. </w:t>
      </w:r>
      <w:r w:rsidRPr="00175FFD">
        <w:rPr>
          <w:rStyle w:val="s1"/>
          <w:rFonts w:ascii="Times New Roman" w:hAnsi="Times New Roman" w:cs="Times New Roman"/>
          <w:sz w:val="24"/>
          <w:szCs w:val="24"/>
          <w:lang w:val="en-US"/>
        </w:rPr>
        <w:t>The microbiota-gut-brain axis and central nervous system diseases: from mechanisms of pathogenesis to therapeutic strategies</w:t>
      </w:r>
      <w:r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rPr>
        <w:t xml:space="preserve">Front Microbiol. 2025; (acc. 2026). </w:t>
      </w:r>
      <w:r w:rsidRPr="00175FFD">
        <w:rPr>
          <w:rStyle w:val="PiedepginaCar"/>
          <w:rFonts w:ascii="Times New Roman" w:hAnsi="Times New Roman" w:cs="Times New Roman"/>
          <w:sz w:val="24"/>
          <w:szCs w:val="24"/>
        </w:rPr>
        <w:t> </w:t>
      </w:r>
      <w:r w:rsidR="00557F13" w:rsidRPr="00557F13">
        <w:rPr>
          <w:rStyle w:val="PiedepginaCar"/>
          <w:rFonts w:ascii="Times New Roman" w:hAnsi="Times New Roman" w:cs="Times New Roman"/>
          <w:sz w:val="24"/>
          <w:szCs w:val="24"/>
        </w:rPr>
        <w:t>https://www.frontiersin.org/articles/10.3389/fnins.2025.1600148/full</w:t>
      </w:r>
    </w:p>
    <w:p w14:paraId="0E9A4F24" w14:textId="444457E7" w:rsidR="004163CC" w:rsidRPr="00175FFD" w:rsidRDefault="004163CC"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lastRenderedPageBreak/>
        <w:t xml:space="preserve">Baldi S, Mundula T, Nannini G, Amedei A. </w:t>
      </w:r>
      <w:r w:rsidRPr="00175FFD">
        <w:rPr>
          <w:rStyle w:val="s1"/>
          <w:rFonts w:ascii="Times New Roman" w:hAnsi="Times New Roman" w:cs="Times New Roman"/>
          <w:sz w:val="24"/>
          <w:szCs w:val="24"/>
          <w:lang w:val="en-US"/>
        </w:rPr>
        <w:t>Microbiota shaping — the effects of probiotics, prebiotics, and fecal microbiota transplant on cognitive functions: A systematic review</w:t>
      </w:r>
      <w:r w:rsidRPr="00175FFD">
        <w:rPr>
          <w:rFonts w:ascii="Times New Roman" w:hAnsi="Times New Roman" w:cs="Times New Roman"/>
          <w:sz w:val="24"/>
          <w:szCs w:val="24"/>
          <w:lang w:val="en-US"/>
        </w:rPr>
        <w:t xml:space="preserve">. </w:t>
      </w:r>
      <w:r w:rsidRPr="00175FFD">
        <w:rPr>
          <w:rFonts w:ascii="Times New Roman" w:hAnsi="Times New Roman" w:cs="Times New Roman"/>
          <w:sz w:val="24"/>
          <w:szCs w:val="24"/>
        </w:rPr>
        <w:t xml:space="preserve">World J Gastroenterol. 2021;27(39):6715-32. </w:t>
      </w:r>
      <w:r w:rsidR="00557F13" w:rsidRPr="00557F13">
        <w:rPr>
          <w:rFonts w:ascii="Times New Roman" w:hAnsi="Times New Roman" w:cs="Times New Roman"/>
          <w:sz w:val="24"/>
          <w:szCs w:val="24"/>
        </w:rPr>
        <w:t>https://pubmed.ncbi.nlm.nih.gov/34712728/</w:t>
      </w:r>
    </w:p>
    <w:p w14:paraId="181E61BD" w14:textId="76A14B19" w:rsidR="009D0A10" w:rsidRPr="00175FFD" w:rsidRDefault="009D0A10"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Effects of microbiome-based interventions on neurodegenerative diseases: a systematic review and meta-analysis</w:t>
      </w:r>
      <w:r w:rsidRPr="00175FFD">
        <w:rPr>
          <w:rStyle w:val="s1"/>
          <w:rFonts w:ascii="Times New Roman" w:hAnsi="Times New Roman" w:cs="Times New Roman"/>
          <w:sz w:val="24"/>
          <w:szCs w:val="24"/>
          <w:lang w:val="en-US"/>
        </w:rPr>
        <w:t xml:space="preserve">. </w:t>
      </w:r>
      <w:r w:rsidRPr="00175FFD">
        <w:rPr>
          <w:rStyle w:val="s1"/>
          <w:rFonts w:ascii="Times New Roman" w:hAnsi="Times New Roman" w:cs="Times New Roman"/>
          <w:sz w:val="24"/>
          <w:szCs w:val="24"/>
        </w:rPr>
        <w:t xml:space="preserve">Sci Rep. 2024; DOI: s41598-024-59250-w. </w:t>
      </w:r>
      <w:r w:rsidRPr="00175FFD">
        <w:rPr>
          <w:rStyle w:val="PiedepginaCar"/>
          <w:rFonts w:ascii="Times New Roman" w:hAnsi="Times New Roman" w:cs="Times New Roman"/>
          <w:sz w:val="24"/>
          <w:szCs w:val="24"/>
        </w:rPr>
        <w:t> </w:t>
      </w:r>
      <w:r w:rsidR="007135C8" w:rsidRPr="007135C8">
        <w:rPr>
          <w:rStyle w:val="PiedepginaCar"/>
          <w:rFonts w:ascii="Times New Roman" w:hAnsi="Times New Roman" w:cs="Times New Roman"/>
          <w:sz w:val="24"/>
          <w:szCs w:val="24"/>
        </w:rPr>
        <w:t>https://www.nature.com/articles/s41598-024-59250-w</w:t>
      </w:r>
    </w:p>
    <w:p w14:paraId="6AF31061" w14:textId="535C79F7" w:rsidR="009D0A10" w:rsidRPr="00175FFD" w:rsidRDefault="009D0A10"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rPr>
        <w:t xml:space="preserve">Soares VH, Caruso EB, da Silva MC. </w:t>
      </w:r>
      <w:r w:rsidRPr="00175FFD">
        <w:rPr>
          <w:rStyle w:val="s1"/>
          <w:rFonts w:ascii="Times New Roman" w:hAnsi="Times New Roman" w:cs="Times New Roman"/>
          <w:sz w:val="24"/>
          <w:szCs w:val="24"/>
        </w:rPr>
        <w:t>La importancia de modular la microbiota intestinal en la salud mental</w:t>
      </w:r>
      <w:r w:rsidRPr="00175FFD">
        <w:rPr>
          <w:rFonts w:ascii="Times New Roman" w:hAnsi="Times New Roman" w:cs="Times New Roman"/>
          <w:sz w:val="24"/>
          <w:szCs w:val="24"/>
        </w:rPr>
        <w:t xml:space="preserve">. Res Soc Dev. 2024;14(6):49084. </w:t>
      </w:r>
      <w:r w:rsidR="007135C8" w:rsidRPr="007135C8">
        <w:rPr>
          <w:rFonts w:ascii="Times New Roman" w:hAnsi="Times New Roman" w:cs="Times New Roman"/>
          <w:sz w:val="24"/>
          <w:szCs w:val="24"/>
        </w:rPr>
        <w:t>https://doi.org/10.33448/rsd-v14i6.49084</w:t>
      </w:r>
    </w:p>
    <w:p w14:paraId="63E9049F" w14:textId="749BF760" w:rsidR="00E320AE" w:rsidRPr="00175FFD" w:rsidRDefault="00E320AE" w:rsidP="00EC5030">
      <w:pPr>
        <w:numPr>
          <w:ilvl w:val="0"/>
          <w:numId w:val="9"/>
        </w:numPr>
        <w:spacing w:line="360" w:lineRule="auto"/>
        <w:jc w:val="both"/>
        <w:rPr>
          <w:rFonts w:ascii="Times New Roman" w:hAnsi="Times New Roman" w:cs="Times New Roman"/>
          <w:sz w:val="24"/>
          <w:szCs w:val="24"/>
        </w:rPr>
      </w:pPr>
      <w:r w:rsidRPr="00175FFD">
        <w:rPr>
          <w:rFonts w:ascii="Times New Roman" w:hAnsi="Times New Roman" w:cs="Times New Roman"/>
          <w:sz w:val="24"/>
          <w:szCs w:val="24"/>
          <w:lang w:val="en-US"/>
        </w:rPr>
        <w:t xml:space="preserve">Pérez-Morales M. </w:t>
      </w:r>
      <w:r w:rsidRPr="00175FFD">
        <w:rPr>
          <w:rStyle w:val="s1"/>
          <w:rFonts w:ascii="Times New Roman" w:hAnsi="Times New Roman" w:cs="Times New Roman"/>
          <w:sz w:val="24"/>
          <w:szCs w:val="24"/>
          <w:lang w:val="en-US"/>
        </w:rPr>
        <w:t>Steering the Microbiota-Gut-Brain Axis by Antibiotics to</w:t>
      </w:r>
      <w:r w:rsidR="005F762A">
        <w:rPr>
          <w:rStyle w:val="s1"/>
          <w:rFonts w:ascii="Times New Roman" w:hAnsi="Times New Roman" w:cs="Times New Roman"/>
          <w:sz w:val="24"/>
          <w:szCs w:val="24"/>
          <w:lang w:val="en-US"/>
        </w:rPr>
        <w:t xml:space="preserve">. </w:t>
      </w:r>
      <w:r w:rsidRPr="00175FFD">
        <w:rPr>
          <w:rFonts w:ascii="Times New Roman" w:hAnsi="Times New Roman" w:cs="Times New Roman"/>
          <w:sz w:val="24"/>
          <w:szCs w:val="24"/>
        </w:rPr>
        <w:t xml:space="preserve">Nutrients. 2024; (narrative review). PMID:38631302 </w:t>
      </w:r>
      <w:r w:rsidRPr="00175FFD">
        <w:rPr>
          <w:rStyle w:val="PiedepginaCar"/>
          <w:rFonts w:ascii="Times New Roman" w:hAnsi="Times New Roman" w:cs="Times New Roman"/>
          <w:sz w:val="24"/>
          <w:szCs w:val="24"/>
        </w:rPr>
        <w:t> </w:t>
      </w:r>
      <w:r w:rsidR="005F762A" w:rsidRPr="005F762A">
        <w:rPr>
          <w:rStyle w:val="PiedepginaCar"/>
          <w:rFonts w:ascii="Times New Roman" w:hAnsi="Times New Roman" w:cs="Times New Roman"/>
          <w:sz w:val="24"/>
          <w:szCs w:val="24"/>
        </w:rPr>
        <w:t>https://pubmed.ncbi.nlm.nih.gov/38631302/</w:t>
      </w:r>
    </w:p>
    <w:p w14:paraId="742F8566" w14:textId="539D71B1" w:rsidR="003406E6" w:rsidRPr="00175FFD" w:rsidRDefault="00F75793" w:rsidP="00EC5030">
      <w:pPr>
        <w:numPr>
          <w:ilvl w:val="0"/>
          <w:numId w:val="9"/>
        </w:numPr>
        <w:spacing w:line="360" w:lineRule="auto"/>
        <w:jc w:val="both"/>
        <w:rPr>
          <w:rStyle w:val="PiedepginaCar"/>
          <w:rFonts w:ascii="Times New Roman" w:hAnsi="Times New Roman" w:cs="Times New Roman"/>
          <w:sz w:val="24"/>
          <w:szCs w:val="24"/>
          <w:lang w:val="en-US"/>
        </w:rPr>
        <w:sectPr w:rsidR="003406E6" w:rsidRPr="00175FFD" w:rsidSect="003406E6">
          <w:pgSz w:w="12240" w:h="15840"/>
          <w:pgMar w:top="1417" w:right="1701" w:bottom="1417" w:left="1701" w:header="708" w:footer="708" w:gutter="0"/>
          <w:cols w:space="708"/>
          <w:titlePg/>
          <w:docGrid w:linePitch="360"/>
        </w:sectPr>
      </w:pPr>
      <w:r w:rsidRPr="00175FFD">
        <w:rPr>
          <w:rFonts w:ascii="Times New Roman" w:hAnsi="Times New Roman" w:cs="Times New Roman"/>
          <w:sz w:val="24"/>
          <w:szCs w:val="24"/>
          <w:lang w:val="en-US"/>
        </w:rPr>
        <w:t xml:space="preserve">Cusumano G, et al. </w:t>
      </w:r>
      <w:r w:rsidRPr="00175FFD">
        <w:rPr>
          <w:rStyle w:val="s1"/>
          <w:rFonts w:ascii="Times New Roman" w:hAnsi="Times New Roman" w:cs="Times New Roman"/>
          <w:sz w:val="24"/>
          <w:szCs w:val="24"/>
          <w:lang w:val="en-US"/>
        </w:rPr>
        <w:t>The Impact of Antibiotic Therapy on Intestinal Microbiota: Dysbiosis, Antibiotic Resistance, and Restoration Strategies</w:t>
      </w:r>
      <w:r w:rsidRPr="00175FFD">
        <w:rPr>
          <w:rFonts w:ascii="Times New Roman" w:hAnsi="Times New Roman" w:cs="Times New Roman"/>
          <w:sz w:val="24"/>
          <w:szCs w:val="24"/>
          <w:lang w:val="en-US"/>
        </w:rPr>
        <w:t xml:space="preserve">. J Clin Gastroenterol. 2025; (review). PMID:40956234 </w:t>
      </w:r>
      <w:r w:rsidR="0039314C">
        <w:rPr>
          <w:rFonts w:ascii="Times New Roman" w:hAnsi="Times New Roman" w:cs="Times New Roman"/>
          <w:sz w:val="24"/>
          <w:szCs w:val="24"/>
          <w:lang w:val="en-US"/>
        </w:rPr>
        <w:t>.</w:t>
      </w:r>
      <w:r w:rsidR="0039314C" w:rsidRPr="0039314C">
        <w:rPr>
          <w:rFonts w:ascii="Times New Roman" w:hAnsi="Times New Roman" w:cs="Times New Roman"/>
          <w:sz w:val="24"/>
          <w:szCs w:val="24"/>
          <w:lang w:val="en-US"/>
        </w:rPr>
        <w:t xml:space="preserve"> https://pubmed.ncbi.nlm.nih.gov/40956234/</w:t>
      </w:r>
    </w:p>
    <w:p w14:paraId="509EC93D" w14:textId="77777777" w:rsidR="00A429C9" w:rsidRPr="003013DE" w:rsidRDefault="00A429C9" w:rsidP="003406E6">
      <w:pPr>
        <w:spacing w:line="360" w:lineRule="auto"/>
        <w:ind w:left="720"/>
        <w:jc w:val="both"/>
        <w:rPr>
          <w:lang w:val="en-US"/>
        </w:rPr>
      </w:pPr>
    </w:p>
    <w:p w14:paraId="5AA1E30B" w14:textId="77777777" w:rsidR="00B61F4E" w:rsidRPr="003013DE" w:rsidRDefault="00B61F4E" w:rsidP="00C208AB">
      <w:pPr>
        <w:spacing w:line="360" w:lineRule="auto"/>
        <w:jc w:val="both"/>
        <w:rPr>
          <w:rFonts w:ascii="Times New Roman" w:hAnsi="Times New Roman" w:cs="Times New Roman"/>
          <w:b/>
          <w:spacing w:val="-2"/>
          <w:sz w:val="32"/>
          <w:szCs w:val="32"/>
          <w:lang w:val="en-US"/>
        </w:rPr>
      </w:pPr>
    </w:p>
    <w:p w14:paraId="25A90B9E" w14:textId="77777777" w:rsidR="00B61F4E" w:rsidRPr="003013DE" w:rsidRDefault="00B61F4E" w:rsidP="00C208AB">
      <w:pPr>
        <w:spacing w:line="360" w:lineRule="auto"/>
        <w:jc w:val="both"/>
        <w:rPr>
          <w:rFonts w:ascii="Times New Roman" w:hAnsi="Times New Roman" w:cs="Times New Roman"/>
          <w:b/>
          <w:spacing w:val="-2"/>
          <w:sz w:val="32"/>
          <w:szCs w:val="32"/>
          <w:lang w:val="en-US"/>
        </w:rPr>
      </w:pPr>
    </w:p>
    <w:p w14:paraId="73389221" w14:textId="77777777" w:rsidR="00B61F4E" w:rsidRPr="003013DE" w:rsidRDefault="00B61F4E" w:rsidP="000F4301">
      <w:pPr>
        <w:spacing w:line="360" w:lineRule="auto"/>
        <w:jc w:val="both"/>
        <w:rPr>
          <w:rFonts w:ascii="Times New Roman" w:hAnsi="Times New Roman" w:cs="Times New Roman"/>
          <w:b/>
          <w:spacing w:val="-2"/>
          <w:sz w:val="32"/>
          <w:szCs w:val="32"/>
          <w:lang w:val="en-US"/>
        </w:rPr>
      </w:pPr>
    </w:p>
    <w:p w14:paraId="40895A47" w14:textId="77777777" w:rsidR="00B61F4E" w:rsidRPr="003013DE" w:rsidRDefault="00B61F4E" w:rsidP="000F4301">
      <w:pPr>
        <w:spacing w:line="360" w:lineRule="auto"/>
        <w:jc w:val="both"/>
        <w:rPr>
          <w:rFonts w:ascii="Times New Roman" w:hAnsi="Times New Roman" w:cs="Times New Roman"/>
          <w:b/>
          <w:spacing w:val="-2"/>
          <w:sz w:val="32"/>
          <w:szCs w:val="32"/>
          <w:lang w:val="en-US"/>
        </w:rPr>
      </w:pPr>
    </w:p>
    <w:p w14:paraId="26AAE0DD" w14:textId="77777777" w:rsidR="00B61F4E" w:rsidRPr="003013DE" w:rsidRDefault="00B61F4E" w:rsidP="000F4301">
      <w:pPr>
        <w:spacing w:line="360" w:lineRule="auto"/>
        <w:jc w:val="both"/>
        <w:rPr>
          <w:rFonts w:ascii="Times New Roman" w:hAnsi="Times New Roman" w:cs="Times New Roman"/>
          <w:b/>
          <w:spacing w:val="-2"/>
          <w:sz w:val="32"/>
          <w:szCs w:val="32"/>
          <w:lang w:val="en-US"/>
        </w:rPr>
      </w:pPr>
    </w:p>
    <w:p w14:paraId="6F7AE82D" w14:textId="77777777" w:rsidR="00B61F4E" w:rsidRPr="003013DE" w:rsidRDefault="00B61F4E" w:rsidP="000013F5">
      <w:pPr>
        <w:spacing w:line="360" w:lineRule="auto"/>
        <w:jc w:val="center"/>
        <w:rPr>
          <w:rFonts w:ascii="Times New Roman" w:hAnsi="Times New Roman" w:cs="Times New Roman"/>
          <w:b/>
          <w:spacing w:val="-2"/>
          <w:sz w:val="32"/>
          <w:szCs w:val="32"/>
          <w:lang w:val="en-US"/>
        </w:rPr>
      </w:pPr>
    </w:p>
    <w:p w14:paraId="3A6736B2" w14:textId="77777777" w:rsidR="00B61F4E" w:rsidRPr="003013DE" w:rsidRDefault="00B61F4E" w:rsidP="000013F5">
      <w:pPr>
        <w:spacing w:line="360" w:lineRule="auto"/>
        <w:jc w:val="center"/>
        <w:rPr>
          <w:rFonts w:ascii="Times New Roman" w:hAnsi="Times New Roman" w:cs="Times New Roman"/>
          <w:b/>
          <w:spacing w:val="-2"/>
          <w:sz w:val="32"/>
          <w:szCs w:val="32"/>
          <w:lang w:val="en-US"/>
        </w:rPr>
      </w:pPr>
    </w:p>
    <w:p w14:paraId="2F864C2E" w14:textId="77777777" w:rsidR="00B61F4E" w:rsidRPr="003013DE" w:rsidRDefault="00B61F4E" w:rsidP="000013F5">
      <w:pPr>
        <w:spacing w:line="360" w:lineRule="auto"/>
        <w:jc w:val="center"/>
        <w:rPr>
          <w:rFonts w:ascii="Times New Roman" w:hAnsi="Times New Roman" w:cs="Times New Roman"/>
          <w:b/>
          <w:spacing w:val="-2"/>
          <w:sz w:val="32"/>
          <w:szCs w:val="32"/>
          <w:lang w:val="en-US"/>
        </w:rPr>
      </w:pPr>
    </w:p>
    <w:p w14:paraId="083DED43" w14:textId="6BF9351C" w:rsidR="00B61F4E" w:rsidRPr="003013DE" w:rsidRDefault="00B61F4E" w:rsidP="000013F5">
      <w:pPr>
        <w:spacing w:line="360" w:lineRule="auto"/>
        <w:jc w:val="center"/>
        <w:rPr>
          <w:rFonts w:ascii="Times New Roman" w:hAnsi="Times New Roman" w:cs="Times New Roman"/>
          <w:b/>
          <w:spacing w:val="-2"/>
          <w:sz w:val="32"/>
          <w:szCs w:val="32"/>
          <w:lang w:val="pt-PT"/>
        </w:rPr>
      </w:pPr>
      <w:r w:rsidRPr="003013DE">
        <w:rPr>
          <w:rFonts w:ascii="Times New Roman" w:hAnsi="Times New Roman" w:cs="Times New Roman"/>
          <w:b/>
          <w:spacing w:val="-2"/>
          <w:sz w:val="32"/>
          <w:szCs w:val="32"/>
          <w:lang w:val="pt-PT"/>
        </w:rPr>
        <w:t>ANEXO A</w:t>
      </w:r>
    </w:p>
    <w:p w14:paraId="5277686F" w14:textId="77777777" w:rsidR="00B61F4E" w:rsidRPr="003013DE" w:rsidRDefault="00B61F4E">
      <w:pPr>
        <w:rPr>
          <w:rFonts w:ascii="Times New Roman" w:hAnsi="Times New Roman" w:cs="Times New Roman"/>
          <w:b/>
          <w:spacing w:val="-2"/>
          <w:sz w:val="32"/>
          <w:szCs w:val="32"/>
          <w:lang w:val="pt-PT"/>
        </w:rPr>
      </w:pPr>
      <w:r w:rsidRPr="003013DE">
        <w:rPr>
          <w:rFonts w:ascii="Times New Roman" w:hAnsi="Times New Roman" w:cs="Times New Roman"/>
          <w:b/>
          <w:spacing w:val="-2"/>
          <w:sz w:val="32"/>
          <w:szCs w:val="32"/>
          <w:lang w:val="pt-PT"/>
        </w:rPr>
        <w:br w:type="page"/>
      </w:r>
    </w:p>
    <w:p w14:paraId="49EE4E81" w14:textId="77777777" w:rsidR="00B61F4E" w:rsidRPr="003013DE" w:rsidRDefault="00B61F4E" w:rsidP="000013F5">
      <w:pPr>
        <w:spacing w:line="360" w:lineRule="auto"/>
        <w:jc w:val="center"/>
        <w:rPr>
          <w:rFonts w:ascii="Times New Roman" w:hAnsi="Times New Roman" w:cs="Times New Roman"/>
          <w:b/>
          <w:spacing w:val="-2"/>
          <w:sz w:val="32"/>
          <w:szCs w:val="32"/>
          <w:lang w:val="pt-PT"/>
        </w:rPr>
        <w:sectPr w:rsidR="00B61F4E" w:rsidRPr="003013DE" w:rsidSect="003406E6">
          <w:pgSz w:w="12240" w:h="15840"/>
          <w:pgMar w:top="1417" w:right="1701" w:bottom="1417" w:left="1701" w:header="708" w:footer="708" w:gutter="0"/>
          <w:cols w:space="708"/>
          <w:titlePg/>
          <w:docGrid w:linePitch="360"/>
        </w:sectPr>
      </w:pPr>
    </w:p>
    <w:p w14:paraId="5274F574" w14:textId="77777777" w:rsidR="000013F5" w:rsidRPr="003013DE" w:rsidRDefault="000013F5" w:rsidP="000013F5">
      <w:pPr>
        <w:spacing w:line="360" w:lineRule="auto"/>
        <w:jc w:val="center"/>
        <w:rPr>
          <w:rFonts w:ascii="Times New Roman" w:hAnsi="Times New Roman" w:cs="Times New Roman"/>
          <w:b/>
          <w:spacing w:val="-2"/>
          <w:sz w:val="32"/>
          <w:szCs w:val="32"/>
          <w:lang w:val="pt-PT"/>
        </w:rPr>
      </w:pPr>
    </w:p>
    <w:tbl>
      <w:tblPr>
        <w:tblW w:w="15433" w:type="dxa"/>
        <w:jc w:val="center"/>
        <w:tblCellMar>
          <w:left w:w="10" w:type="dxa"/>
          <w:right w:w="10" w:type="dxa"/>
        </w:tblCellMar>
        <w:tblLook w:val="0000" w:firstRow="0" w:lastRow="0" w:firstColumn="0" w:lastColumn="0" w:noHBand="0" w:noVBand="0"/>
      </w:tblPr>
      <w:tblGrid>
        <w:gridCol w:w="2083"/>
        <w:gridCol w:w="470"/>
        <w:gridCol w:w="2116"/>
        <w:gridCol w:w="1456"/>
        <w:gridCol w:w="1136"/>
        <w:gridCol w:w="2738"/>
        <w:gridCol w:w="2816"/>
        <w:gridCol w:w="2618"/>
      </w:tblGrid>
      <w:tr w:rsidR="003013DE" w:rsidRPr="003013DE" w14:paraId="0BF4D905" w14:textId="77777777" w:rsidTr="00007207">
        <w:trPr>
          <w:trHeight w:val="2205"/>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612573B6"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Autor / Revista / Año</w:t>
            </w:r>
          </w:p>
        </w:tc>
        <w:tc>
          <w:tcPr>
            <w:tcW w:w="0" w:type="auto"/>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74D50586"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Re</w:t>
            </w:r>
          </w:p>
        </w:tc>
        <w:tc>
          <w:tcPr>
            <w:tcW w:w="0" w:type="auto"/>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2B41E1EA"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Título del artículo</w:t>
            </w:r>
          </w:p>
        </w:tc>
        <w:tc>
          <w:tcPr>
            <w:tcW w:w="0" w:type="auto"/>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198487C8"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Tipo de estudio</w:t>
            </w:r>
          </w:p>
        </w:tc>
        <w:tc>
          <w:tcPr>
            <w:tcW w:w="0" w:type="auto"/>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0C59B8DC"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Nivel de evidencia</w:t>
            </w:r>
          </w:p>
        </w:tc>
        <w:tc>
          <w:tcPr>
            <w:tcW w:w="2794"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6915820C"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Población</w:t>
            </w:r>
          </w:p>
        </w:tc>
        <w:tc>
          <w:tcPr>
            <w:tcW w:w="2789"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792AF40D"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Metodología</w:t>
            </w:r>
          </w:p>
        </w:tc>
        <w:tc>
          <w:tcPr>
            <w:tcW w:w="2629"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7FE193ED" w14:textId="77777777" w:rsidR="00B61F4E" w:rsidRPr="003013DE" w:rsidRDefault="00B61F4E"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Resultados y Conclusiones</w:t>
            </w:r>
          </w:p>
        </w:tc>
      </w:tr>
      <w:tr w:rsidR="003013DE" w:rsidRPr="003013DE" w14:paraId="5EBE35FA"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365A46" w14:textId="29CFA10A" w:rsidR="00B61F4E" w:rsidRPr="003013DE" w:rsidRDefault="00CB1041" w:rsidP="0030351C">
            <w:pPr>
              <w:pStyle w:val="Descripcin"/>
              <w:widowControl w:val="0"/>
              <w:jc w:val="both"/>
              <w:rPr>
                <w:rFonts w:ascii="Times New Roman" w:hAnsi="Times New Roman" w:cs="Times New Roman"/>
                <w:color w:val="auto"/>
                <w:sz w:val="24"/>
                <w:szCs w:val="24"/>
                <w:shd w:val="clear" w:color="auto" w:fill="FFFFFF"/>
              </w:rPr>
            </w:pPr>
            <w:r w:rsidRPr="003013DE">
              <w:rPr>
                <w:rFonts w:ascii="Times New Roman" w:eastAsia="Times New Roman" w:hAnsi="Times New Roman" w:cs="Times New Roman"/>
                <w:color w:val="auto"/>
                <w:sz w:val="24"/>
                <w:szCs w:val="24"/>
                <w:lang w:val="es-CR"/>
              </w:rPr>
              <w:t>Autores: Hung C.-C., et al.</w:t>
            </w:r>
            <w:r w:rsidRPr="003013DE">
              <w:rPr>
                <w:rFonts w:ascii="Times New Roman" w:eastAsia="Times New Roman" w:hAnsi="Times New Roman" w:cs="Times New Roman"/>
                <w:color w:val="auto"/>
                <w:sz w:val="24"/>
                <w:szCs w:val="24"/>
                <w:lang w:val="es-CR"/>
              </w:rPr>
              <w:br/>
              <w:t>Fecha: 2022.</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Fuente: Aging (Albany NY) / 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3217E0" w14:textId="0AE168E2" w:rsidR="00B61F4E" w:rsidRPr="003013DE" w:rsidRDefault="00FA1ECE" w:rsidP="0030351C">
            <w:pPr>
              <w:pStyle w:val="Descripcin"/>
              <w:widowControl w:val="0"/>
              <w:rPr>
                <w:rFonts w:ascii="Times New Roman" w:hAnsi="Times New Roman" w:cs="Times New Roman"/>
                <w:color w:val="auto"/>
                <w:sz w:val="24"/>
                <w:szCs w:val="24"/>
                <w:shd w:val="clear" w:color="auto" w:fill="FFFFFF"/>
              </w:rPr>
            </w:pPr>
            <w:r w:rsidRPr="003013DE">
              <w:rPr>
                <w:rFonts w:ascii="Times New Roman" w:hAnsi="Times New Roman" w:cs="Times New Roman"/>
                <w:color w:val="auto"/>
                <w:sz w:val="24"/>
                <w:szCs w:val="24"/>
                <w:shd w:val="clear" w:color="auto" w:fill="FFFFFF"/>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CAF485" w14:textId="562FBE49" w:rsidR="00B61F4E" w:rsidRPr="003013DE" w:rsidRDefault="0054387E" w:rsidP="0030351C">
            <w:pPr>
              <w:pStyle w:val="Descripcin"/>
              <w:widowControl w:val="0"/>
              <w:jc w:val="both"/>
              <w:rPr>
                <w:rFonts w:ascii="Times New Roman" w:hAnsi="Times New Roman" w:cs="Times New Roman"/>
                <w:color w:val="auto"/>
                <w:sz w:val="24"/>
                <w:szCs w:val="24"/>
                <w:shd w:val="clear" w:color="auto" w:fill="FFFFFF"/>
              </w:rPr>
            </w:pPr>
            <w:r w:rsidRPr="003013DE">
              <w:rPr>
                <w:rFonts w:ascii="Times New Roman" w:eastAsia="Times New Roman" w:hAnsi="Times New Roman" w:cs="Times New Roman"/>
                <w:color w:val="auto"/>
                <w:sz w:val="24"/>
                <w:szCs w:val="24"/>
              </w:rPr>
              <w:t>Gut microbiota in patients with Alzheimer's disease spectrum: a systematic review and meta-analysis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136DCD" w14:textId="28CDB4C3" w:rsidR="00B61F4E" w:rsidRPr="003013DE" w:rsidRDefault="00007207" w:rsidP="0030351C">
            <w:pPr>
              <w:pStyle w:val="Descripcin"/>
              <w:widowControl w:val="0"/>
              <w:jc w:val="both"/>
              <w:rPr>
                <w:rFonts w:ascii="Times New Roman" w:hAnsi="Times New Roman" w:cs="Times New Roman"/>
                <w:color w:val="auto"/>
                <w:sz w:val="24"/>
                <w:szCs w:val="24"/>
                <w:shd w:val="clear" w:color="auto" w:fill="FFFFFF"/>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68495C" w14:textId="2FF4AB4D" w:rsidR="00B61F4E" w:rsidRPr="003013DE" w:rsidRDefault="00E65740" w:rsidP="0030351C">
            <w:pPr>
              <w:pStyle w:val="Descripcin"/>
              <w:widowControl w:val="0"/>
              <w:jc w:val="center"/>
              <w:rPr>
                <w:rFonts w:ascii="Times New Roman" w:hAnsi="Times New Roman" w:cs="Times New Roman"/>
                <w:color w:val="auto"/>
                <w:sz w:val="24"/>
                <w:szCs w:val="24"/>
                <w:shd w:val="clear" w:color="auto" w:fill="FFFFFF"/>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D319E0" w14:textId="52B4E606" w:rsidR="00B61F4E" w:rsidRPr="003013DE" w:rsidRDefault="00CB1041" w:rsidP="0030351C">
            <w:pPr>
              <w:pStyle w:val="Descripcin"/>
              <w:widowControl w:val="0"/>
              <w:jc w:val="both"/>
              <w:rPr>
                <w:rFonts w:ascii="Times New Roman" w:hAnsi="Times New Roman" w:cs="Times New Roman"/>
                <w:color w:val="auto"/>
                <w:sz w:val="24"/>
                <w:szCs w:val="24"/>
                <w:shd w:val="clear" w:color="auto" w:fill="FFFFFF"/>
                <w:lang w:val="es-CR"/>
              </w:rPr>
            </w:pPr>
            <w:r w:rsidRPr="003013DE">
              <w:rPr>
                <w:rFonts w:ascii="Times New Roman" w:eastAsia="Times New Roman" w:hAnsi="Times New Roman" w:cs="Times New Roman"/>
                <w:color w:val="auto"/>
                <w:sz w:val="24"/>
                <w:szCs w:val="24"/>
                <w:lang w:val="es-CR"/>
              </w:rPr>
              <w:t>Sujetos con espectro de enfermedad de Alzheimer (incluye MCI y AD) comparados con controles sanos en estudios observacionales con análisis microbioma fecal.</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947CD7" w14:textId="2A9220CB" w:rsidR="00B61F4E" w:rsidRPr="003013DE" w:rsidRDefault="00F4788B" w:rsidP="0030351C">
            <w:pPr>
              <w:pStyle w:val="Descripcin"/>
              <w:widowControl w:val="0"/>
              <w:jc w:val="both"/>
              <w:rPr>
                <w:rFonts w:ascii="Times New Roman" w:hAnsi="Times New Roman" w:cs="Times New Roman"/>
                <w:color w:val="auto"/>
                <w:sz w:val="24"/>
                <w:szCs w:val="24"/>
                <w:shd w:val="clear" w:color="auto" w:fill="FFFFFF"/>
                <w:lang w:val="es-CR"/>
              </w:rPr>
            </w:pPr>
            <w:r w:rsidRPr="003013DE">
              <w:rPr>
                <w:rFonts w:ascii="Times New Roman" w:eastAsia="Times New Roman" w:hAnsi="Times New Roman" w:cs="Times New Roman"/>
                <w:color w:val="auto"/>
                <w:sz w:val="24"/>
                <w:szCs w:val="24"/>
                <w:lang w:val="es-CR"/>
              </w:rPr>
              <w:t>Búsqueda en bases electrónicas (PubMed, Embase, Cochrane, etc.) hasta 2021; selección de estudios observacionales que compararon composición microbiana entre AD/MCI y controles; extracción de datos de diversidad microbiana y abundancia relativa de géneros; metaanálisis de diferencias de abundancia y medidas de diversidad cuando fue posible; evaluación de heterogeneidad y sesgo.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863579" w14:textId="4841D745" w:rsidR="00B61F4E" w:rsidRPr="003013DE" w:rsidRDefault="00F4788B" w:rsidP="0030351C">
            <w:pPr>
              <w:pStyle w:val="Descripcin"/>
              <w:widowControl w:val="0"/>
              <w:jc w:val="both"/>
              <w:rPr>
                <w:rFonts w:ascii="Times New Roman" w:hAnsi="Times New Roman" w:cs="Times New Roman"/>
                <w:color w:val="auto"/>
                <w:sz w:val="24"/>
                <w:szCs w:val="24"/>
                <w:shd w:val="clear" w:color="auto" w:fill="FFFFFF"/>
                <w:lang w:val="es-CR"/>
              </w:rPr>
            </w:pPr>
            <w:bookmarkStart w:id="162" w:name="_qsh70q"/>
            <w:bookmarkEnd w:id="162"/>
            <w:r w:rsidRPr="003013DE">
              <w:rPr>
                <w:rFonts w:ascii="Times New Roman" w:eastAsia="Times New Roman" w:hAnsi="Times New Roman" w:cs="Times New Roman"/>
                <w:color w:val="auto"/>
                <w:sz w:val="24"/>
                <w:szCs w:val="24"/>
                <w:lang w:val="es-CR"/>
              </w:rPr>
              <w:t>Los pacientes del espectro AD presentan alteraciones en la diversidad y composición de la microbiota intestinal comparados con controles, con cambios consistentes en varios géneros bacterianos que podrían asociarse a la enfermedad.</w:t>
            </w:r>
            <w:r w:rsidRPr="003013DE">
              <w:rPr>
                <w:rStyle w:val="PiedepginaCar"/>
                <w:rFonts w:ascii="Times New Roman" w:eastAsia="Times New Roman" w:hAnsi="Times New Roman" w:cs="Times New Roman"/>
                <w:color w:val="auto"/>
                <w:sz w:val="24"/>
                <w:szCs w:val="24"/>
                <w:lang w:val="es-CR"/>
              </w:rPr>
              <w:t> </w:t>
            </w:r>
          </w:p>
        </w:tc>
      </w:tr>
      <w:tr w:rsidR="003013DE" w:rsidRPr="003013DE" w14:paraId="47BD7506"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299B8D" w14:textId="12EFDFC2" w:rsidR="00007207" w:rsidRPr="003013DE" w:rsidRDefault="00007207" w:rsidP="0030351C">
            <w:pPr>
              <w:pStyle w:val="Descripcin"/>
              <w:widowControl w:val="0"/>
              <w:jc w:val="both"/>
              <w:rPr>
                <w:rFonts w:ascii="Times New Roman" w:hAnsi="Times New Roman" w:cs="Times New Roman"/>
                <w:color w:val="auto"/>
                <w:sz w:val="24"/>
                <w:szCs w:val="24"/>
                <w:shd w:val="clear" w:color="auto" w:fill="FFFFFF"/>
              </w:rPr>
            </w:pPr>
            <w:r w:rsidRPr="003013DE">
              <w:rPr>
                <w:rFonts w:ascii="Times New Roman" w:eastAsia="Times New Roman" w:hAnsi="Times New Roman" w:cs="Times New Roman"/>
                <w:color w:val="auto"/>
                <w:sz w:val="24"/>
                <w:szCs w:val="24"/>
                <w:lang w:val="es-CR"/>
              </w:rPr>
              <w:t>Autores: Li H.,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r>
            <w:r w:rsidRPr="003013DE">
              <w:rPr>
                <w:rFonts w:ascii="Times New Roman" w:eastAsia="Times New Roman" w:hAnsi="Times New Roman" w:cs="Times New Roman"/>
                <w:color w:val="auto"/>
                <w:sz w:val="24"/>
                <w:szCs w:val="24"/>
              </w:rPr>
              <w:lastRenderedPageBreak/>
              <w:t>Fuente: Frontiers / PMC</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4140FF" w14:textId="04815217" w:rsidR="00007207" w:rsidRPr="003013DE" w:rsidRDefault="00007207" w:rsidP="0030351C">
            <w:pPr>
              <w:pStyle w:val="Descripcin"/>
              <w:widowControl w:val="0"/>
              <w:rPr>
                <w:rFonts w:ascii="Times New Roman" w:hAnsi="Times New Roman" w:cs="Times New Roman"/>
                <w:color w:val="auto"/>
                <w:sz w:val="24"/>
                <w:szCs w:val="24"/>
                <w:shd w:val="clear" w:color="auto" w:fill="FFFFFF"/>
              </w:rPr>
            </w:pPr>
            <w:r w:rsidRPr="003013DE">
              <w:rPr>
                <w:rFonts w:ascii="Times New Roman" w:hAnsi="Times New Roman" w:cs="Times New Roman"/>
                <w:color w:val="auto"/>
                <w:sz w:val="24"/>
                <w:szCs w:val="24"/>
                <w:shd w:val="clear" w:color="auto" w:fill="FFFFFF"/>
              </w:rPr>
              <w:lastRenderedPageBreak/>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674922" w14:textId="201AD740" w:rsidR="00007207" w:rsidRPr="003013DE" w:rsidRDefault="00007207" w:rsidP="0030351C">
            <w:pPr>
              <w:pStyle w:val="Descripcin"/>
              <w:widowControl w:val="0"/>
              <w:jc w:val="both"/>
              <w:rPr>
                <w:rFonts w:ascii="Times New Roman" w:hAnsi="Times New Roman" w:cs="Times New Roman"/>
                <w:color w:val="auto"/>
                <w:sz w:val="24"/>
                <w:szCs w:val="24"/>
                <w:shd w:val="clear" w:color="auto" w:fill="FFFFFF"/>
              </w:rPr>
            </w:pPr>
            <w:r w:rsidRPr="003013DE">
              <w:rPr>
                <w:rFonts w:ascii="Times New Roman" w:eastAsia="Times New Roman" w:hAnsi="Times New Roman" w:cs="Times New Roman"/>
                <w:color w:val="auto"/>
                <w:sz w:val="24"/>
                <w:szCs w:val="24"/>
              </w:rPr>
              <w:t xml:space="preserve">Gut microbiota changes in patients with Alzheimer's </w:t>
            </w:r>
            <w:r w:rsidRPr="003013DE">
              <w:rPr>
                <w:rFonts w:ascii="Times New Roman" w:eastAsia="Times New Roman" w:hAnsi="Times New Roman" w:cs="Times New Roman"/>
                <w:color w:val="auto"/>
                <w:sz w:val="24"/>
                <w:szCs w:val="24"/>
              </w:rPr>
              <w:lastRenderedPageBreak/>
              <w:t>disease: a systematic review and meta-analysis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6D76AA" w14:textId="3DA38265" w:rsidR="00007207" w:rsidRPr="003013DE" w:rsidRDefault="00007207" w:rsidP="0030351C">
            <w:pPr>
              <w:pStyle w:val="Descripcin"/>
              <w:widowControl w:val="0"/>
              <w:jc w:val="both"/>
              <w:rPr>
                <w:rFonts w:ascii="Times New Roman" w:hAnsi="Times New Roman" w:cs="Times New Roman"/>
                <w:color w:val="auto"/>
                <w:sz w:val="24"/>
                <w:szCs w:val="24"/>
                <w:shd w:val="clear" w:color="auto" w:fill="FFFFFF"/>
              </w:rPr>
            </w:pPr>
            <w:r w:rsidRPr="003013DE">
              <w:rPr>
                <w:rFonts w:ascii="Times New Roman" w:hAnsi="Times New Roman" w:cs="Times New Roman"/>
                <w:color w:val="auto"/>
                <w:sz w:val="24"/>
                <w:szCs w:val="24"/>
                <w:shd w:val="clear" w:color="auto" w:fill="FFFFFF"/>
              </w:rPr>
              <w:lastRenderedPageBreak/>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6E4561" w14:textId="344B8562" w:rsidR="00007207" w:rsidRPr="003013DE" w:rsidRDefault="00007207" w:rsidP="0030351C">
            <w:pPr>
              <w:pStyle w:val="Descripcin"/>
              <w:widowControl w:val="0"/>
              <w:jc w:val="center"/>
              <w:rPr>
                <w:rFonts w:ascii="Times New Roman" w:hAnsi="Times New Roman" w:cs="Times New Roman"/>
                <w:color w:val="auto"/>
                <w:sz w:val="24"/>
                <w:szCs w:val="24"/>
                <w:shd w:val="clear" w:color="auto" w:fill="FFFFFF"/>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686A1C" w14:textId="1415DCA9" w:rsidR="00007207" w:rsidRPr="003013DE" w:rsidRDefault="00007207" w:rsidP="0030351C">
            <w:pPr>
              <w:pStyle w:val="Descripcin"/>
              <w:widowControl w:val="0"/>
              <w:jc w:val="both"/>
              <w:rPr>
                <w:rFonts w:ascii="Times New Roman" w:hAnsi="Times New Roman" w:cs="Times New Roman"/>
                <w:color w:val="auto"/>
                <w:sz w:val="24"/>
                <w:szCs w:val="24"/>
                <w:shd w:val="clear" w:color="auto" w:fill="FFFFFF"/>
                <w:lang w:val="es-CR"/>
              </w:rPr>
            </w:pPr>
            <w:r w:rsidRPr="003013DE">
              <w:rPr>
                <w:rFonts w:ascii="Times New Roman" w:eastAsia="Times New Roman" w:hAnsi="Times New Roman" w:cs="Times New Roman"/>
                <w:color w:val="auto"/>
                <w:sz w:val="24"/>
                <w:szCs w:val="24"/>
                <w:lang w:val="es-CR"/>
              </w:rPr>
              <w:t xml:space="preserve">Pacientes con diagnóstico de Alzheimer (o MCI en subanálisis) y controles </w:t>
            </w:r>
            <w:r w:rsidRPr="003013DE">
              <w:rPr>
                <w:rFonts w:ascii="Times New Roman" w:eastAsia="Times New Roman" w:hAnsi="Times New Roman" w:cs="Times New Roman"/>
                <w:color w:val="auto"/>
                <w:sz w:val="24"/>
                <w:szCs w:val="24"/>
                <w:lang w:val="es-CR"/>
              </w:rPr>
              <w:lastRenderedPageBreak/>
              <w:t>sanos, con estudios basados en secuenciación 16S rRNA de heces.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BBA623" w14:textId="1A0FCA42" w:rsidR="00007207" w:rsidRPr="003013DE" w:rsidRDefault="00007207" w:rsidP="0030351C">
            <w:pPr>
              <w:pStyle w:val="Descripcin"/>
              <w:widowControl w:val="0"/>
              <w:jc w:val="both"/>
              <w:rPr>
                <w:rFonts w:ascii="Times New Roman" w:hAnsi="Times New Roman" w:cs="Times New Roman"/>
                <w:color w:val="auto"/>
                <w:sz w:val="24"/>
                <w:szCs w:val="24"/>
                <w:shd w:val="clear" w:color="auto" w:fill="FFFFFF"/>
                <w:lang w:val="es-CR"/>
              </w:rPr>
            </w:pPr>
            <w:r w:rsidRPr="003013DE">
              <w:rPr>
                <w:rFonts w:ascii="Times New Roman" w:eastAsia="Times New Roman" w:hAnsi="Times New Roman" w:cs="Times New Roman"/>
                <w:color w:val="auto"/>
                <w:sz w:val="24"/>
                <w:szCs w:val="24"/>
                <w:lang w:val="es-CR"/>
              </w:rPr>
              <w:lastRenderedPageBreak/>
              <w:t xml:space="preserve">Búsqueda sistemática de estudios clínicos hasta 2023/2024; extracción de </w:t>
            </w:r>
            <w:r w:rsidRPr="003013DE">
              <w:rPr>
                <w:rFonts w:ascii="Times New Roman" w:eastAsia="Times New Roman" w:hAnsi="Times New Roman" w:cs="Times New Roman"/>
                <w:color w:val="auto"/>
                <w:sz w:val="24"/>
                <w:szCs w:val="24"/>
                <w:lang w:val="es-CR"/>
              </w:rPr>
              <w:lastRenderedPageBreak/>
              <w:t>métricas de diversidad (</w:t>
            </w:r>
            <w:r w:rsidRPr="003013DE">
              <w:rPr>
                <w:rFonts w:ascii="Times New Roman" w:eastAsia="Times New Roman" w:hAnsi="Times New Roman" w:cs="Times New Roman"/>
                <w:color w:val="auto"/>
                <w:sz w:val="24"/>
                <w:szCs w:val="24"/>
              </w:rPr>
              <w:t>α</w:t>
            </w:r>
            <w:r w:rsidRPr="003013DE">
              <w:rPr>
                <w:rFonts w:ascii="Times New Roman" w:eastAsia="Times New Roman" w:hAnsi="Times New Roman" w:cs="Times New Roman"/>
                <w:color w:val="auto"/>
                <w:sz w:val="24"/>
                <w:szCs w:val="24"/>
                <w:lang w:val="es-CR"/>
              </w:rPr>
              <w:t xml:space="preserve">, </w:t>
            </w:r>
            <w:r w:rsidRPr="003013DE">
              <w:rPr>
                <w:rFonts w:ascii="Times New Roman" w:eastAsia="Times New Roman" w:hAnsi="Times New Roman" w:cs="Times New Roman"/>
                <w:color w:val="auto"/>
                <w:sz w:val="24"/>
                <w:szCs w:val="24"/>
              </w:rPr>
              <w:t>β</w:t>
            </w:r>
            <w:r w:rsidRPr="003013DE">
              <w:rPr>
                <w:rFonts w:ascii="Times New Roman" w:eastAsia="Times New Roman" w:hAnsi="Times New Roman" w:cs="Times New Roman"/>
                <w:color w:val="auto"/>
                <w:sz w:val="24"/>
                <w:szCs w:val="24"/>
                <w:lang w:val="es-CR"/>
              </w:rPr>
              <w:t>) y abundancias taxonómicas; metaanálisis por géneros/familias para identificar asociaciones consistentes; análisis de sensibilidad por región geográfica y método de secuenciación.</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E1711F" w14:textId="01AC0ADF" w:rsidR="00007207" w:rsidRPr="003013DE" w:rsidRDefault="00007207" w:rsidP="0030351C">
            <w:pPr>
              <w:pStyle w:val="Descripcin"/>
              <w:widowControl w:val="0"/>
              <w:jc w:val="both"/>
              <w:rPr>
                <w:rFonts w:ascii="Times New Roman" w:hAnsi="Times New Roman" w:cs="Times New Roman"/>
                <w:color w:val="auto"/>
                <w:sz w:val="24"/>
                <w:szCs w:val="24"/>
                <w:shd w:val="clear" w:color="auto" w:fill="FFFFFF"/>
                <w:lang w:val="es-CR"/>
              </w:rPr>
            </w:pPr>
            <w:r w:rsidRPr="003013DE">
              <w:rPr>
                <w:rFonts w:ascii="Times New Roman" w:eastAsia="Times New Roman" w:hAnsi="Times New Roman" w:cs="Times New Roman"/>
                <w:color w:val="auto"/>
                <w:sz w:val="24"/>
                <w:szCs w:val="24"/>
                <w:lang w:val="es-CR"/>
              </w:rPr>
              <w:lastRenderedPageBreak/>
              <w:t xml:space="preserve">Se identificaron diferencias significativas en diversidad y en la </w:t>
            </w:r>
            <w:r w:rsidRPr="003013DE">
              <w:rPr>
                <w:rFonts w:ascii="Times New Roman" w:eastAsia="Times New Roman" w:hAnsi="Times New Roman" w:cs="Times New Roman"/>
                <w:color w:val="auto"/>
                <w:sz w:val="24"/>
                <w:szCs w:val="24"/>
                <w:lang w:val="es-CR"/>
              </w:rPr>
              <w:lastRenderedPageBreak/>
              <w:t>abundancia de múltiples taxones (a nivel de género/familia) entre pacientes con Alzheimer y controles, sugiriendo un patrón de disbiosis intestinal asociado al espectro de enfermedad.</w:t>
            </w:r>
            <w:r w:rsidRPr="003013DE">
              <w:rPr>
                <w:rStyle w:val="PiedepginaCar"/>
                <w:rFonts w:ascii="Times New Roman" w:eastAsia="Times New Roman" w:hAnsi="Times New Roman" w:cs="Times New Roman"/>
                <w:color w:val="auto"/>
                <w:sz w:val="24"/>
                <w:szCs w:val="24"/>
                <w:lang w:val="es-CR"/>
              </w:rPr>
              <w:t> </w:t>
            </w:r>
          </w:p>
        </w:tc>
      </w:tr>
      <w:tr w:rsidR="003013DE" w:rsidRPr="003013DE" w14:paraId="059FCB5B"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3F3AF3" w14:textId="4830782C"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Romano S.,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2021.</w:t>
            </w:r>
            <w:r w:rsidRPr="003013DE">
              <w:rPr>
                <w:rFonts w:ascii="Times New Roman" w:eastAsia="Times New Roman" w:hAnsi="Times New Roman" w:cs="Times New Roman"/>
                <w:color w:val="auto"/>
                <w:sz w:val="24"/>
                <w:szCs w:val="24"/>
              </w:rPr>
              <w:br/>
              <w:t>Fuente: Nature Communications</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C558F6" w14:textId="0BE4346E"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F2C9A9" w14:textId="5915926F"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Meta-analysis of the Parkinson’s disease gut microbiome suggests alterations linked to intestinal inflammation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2F0845" w14:textId="37CF5896"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5D41E4" w14:textId="41C99A75"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B5A75D" w14:textId="2BCCE323"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Pacientes con enfermedad de Parkinson y controles sanos incluidos en estudios de secuenciación intestinal (múltiples cohortes internacionales).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E264F7" w14:textId="55A740D8"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Integración de datos de múltiples estudios mediante metaanálisis (incluye meta-análisis de diversidad y abundancia por taxa); evaluación de consistencia de cambios microbianos y asociación con marcadores de inflamación intestinal; subanálisis por región geográfica y tratamiento dopaminérgico.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482AD3" w14:textId="63884EC3"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observan alteraciones consistentes en la microbiota intestinal de pacientes con Parkinson, con patrones que apuntan a un componente inflamatorio intestinal que podría relacionarse con la patogénesis o progresión de la enfermedad.</w:t>
            </w:r>
            <w:r w:rsidRPr="003013DE">
              <w:rPr>
                <w:rStyle w:val="PiedepginaCar"/>
                <w:rFonts w:ascii="Times New Roman" w:eastAsia="Times New Roman" w:hAnsi="Times New Roman" w:cs="Times New Roman"/>
                <w:color w:val="auto"/>
                <w:sz w:val="24"/>
                <w:szCs w:val="24"/>
                <w:lang w:val="es-CR"/>
              </w:rPr>
              <w:t> </w:t>
            </w:r>
          </w:p>
        </w:tc>
      </w:tr>
      <w:tr w:rsidR="003013DE" w:rsidRPr="003013DE" w14:paraId="6DA9E5D6"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EACDAF" w14:textId="2621C1FD"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Ye Y.,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Scientific Reports / Nature Portfolio</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E18B97" w14:textId="4CBC2438"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B4F19A" w14:textId="0C0848B8"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 systematic review and meta-analysis of the effects of long-term antibiotics and gut microbiota disruption on cognition and neurodegeneration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A5814D" w14:textId="0B75CA55"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5E5772" w14:textId="65A41E15"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4D5641" w14:textId="6257FAFA"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experimentales y observacionales que evaluaron la relación entre uso prolongado de antibióticos (o alteración del microbiota) y medidas de función cognitiva / marcadores de neurodegeneración en humanos y modelos animales; metanálisis orientado a hallazgos en humanos cuando fue posible.</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F2CB0A" w14:textId="03EB9427"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en bases principales; selección de estudios relevantes (ensayos clínicos, cohortes, estudios experimentales); síntesis cuantitativa de efectos cognitivos en humanos y síntesis narrativa de evidencia mecanística en animales; evaluación de heterogeneidad.</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8D3152" w14:textId="49DD28FA"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 alteración sostenida del microbiota intestinal (p. ej. por uso prolongado de antibióticos) se asocia con cambios cognitivos en humanos y modelos animales, respaldando el papel de la microbiota en procesos relacionados con la cognición y la neurodegeneración.</w:t>
            </w:r>
          </w:p>
        </w:tc>
      </w:tr>
      <w:tr w:rsidR="003013DE" w:rsidRPr="003013DE" w14:paraId="22662A92"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E334C9" w14:textId="3FB1F6FD"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Tripathi S., et al.</w:t>
            </w:r>
            <w:r w:rsidRPr="003013DE">
              <w:rPr>
                <w:rFonts w:ascii="Times New Roman" w:eastAsia="Times New Roman" w:hAnsi="Times New Roman" w:cs="Times New Roman"/>
                <w:color w:val="auto"/>
                <w:sz w:val="24"/>
                <w:szCs w:val="24"/>
                <w:lang w:val="es-CR"/>
              </w:rPr>
              <w:br/>
              <w:t>Fecha: 2024.</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Fuente: SAGE Journals / 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6CC82F" w14:textId="68C66463"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48594A" w14:textId="5F441A18"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 xml:space="preserve">Probiotics and cognitive function in mild cognitive impairment and Alzheimer’s disease: a systematic review and meta-analysis of randomized </w:t>
            </w:r>
            <w:r w:rsidRPr="003013DE">
              <w:rPr>
                <w:rFonts w:ascii="Times New Roman" w:eastAsia="Times New Roman" w:hAnsi="Times New Roman" w:cs="Times New Roman"/>
                <w:color w:val="auto"/>
                <w:sz w:val="24"/>
                <w:szCs w:val="24"/>
              </w:rPr>
              <w:lastRenderedPageBreak/>
              <w:t>controlled trials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9637C9" w14:textId="178F1E0F"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lastRenderedPageBreak/>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E6F3EE" w14:textId="34D1EDF5"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628F078" w14:textId="7D5C12C6"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Adultos con MCI o enfermedad de Alzheimer incluidos en ensayos aleatorizados que evaluaron intervenciones con probióticos/prebióticos frente a placebo o cuidado estándar; desenlaces: </w:t>
            </w:r>
            <w:r w:rsidRPr="003013DE">
              <w:rPr>
                <w:rFonts w:ascii="Times New Roman" w:eastAsia="Times New Roman" w:hAnsi="Times New Roman" w:cs="Times New Roman"/>
                <w:color w:val="auto"/>
                <w:sz w:val="24"/>
                <w:szCs w:val="24"/>
                <w:lang w:val="es-CR"/>
              </w:rPr>
              <w:lastRenderedPageBreak/>
              <w:t>puntuaciones cognitivas (MMSE, MoCA u otras escalas).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9DDA93" w14:textId="2A5F891F"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Búsqueda sistemática de RCTs hasta 2023/2024; extracción de cambios en puntuaciones cognitivas y medidas inflamatorias/metabólicas; metaanálisis de diferencias medias estandarizadas; evaluación de riesgo de </w:t>
            </w:r>
            <w:r w:rsidRPr="003013DE">
              <w:rPr>
                <w:rFonts w:ascii="Times New Roman" w:eastAsia="Times New Roman" w:hAnsi="Times New Roman" w:cs="Times New Roman"/>
                <w:color w:val="auto"/>
                <w:sz w:val="24"/>
                <w:szCs w:val="24"/>
                <w:lang w:val="es-CR"/>
              </w:rPr>
              <w:lastRenderedPageBreak/>
              <w:t>sesgo y heterogeneidad.</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D70EF9" w14:textId="2066D3C8"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Los ensayos agrupados muestran efectos modestos pero estadísticamente significativos de algunas intervenciones probióticas sobre dominios cognitivos en MCI/AD, con elevada </w:t>
            </w:r>
            <w:r w:rsidRPr="003013DE">
              <w:rPr>
                <w:rFonts w:ascii="Times New Roman" w:eastAsia="Times New Roman" w:hAnsi="Times New Roman" w:cs="Times New Roman"/>
                <w:color w:val="auto"/>
                <w:sz w:val="24"/>
                <w:szCs w:val="24"/>
                <w:lang w:val="es-CR"/>
              </w:rPr>
              <w:lastRenderedPageBreak/>
              <w:t>heterogeneidad entre formulaciones y duraciones; se requieren ensayos más amplios y estandarizados.</w:t>
            </w:r>
            <w:r w:rsidRPr="003013DE">
              <w:rPr>
                <w:rStyle w:val="PiedepginaCar"/>
                <w:rFonts w:ascii="Times New Roman" w:eastAsia="Times New Roman" w:hAnsi="Times New Roman" w:cs="Times New Roman"/>
                <w:color w:val="auto"/>
                <w:sz w:val="24"/>
                <w:szCs w:val="24"/>
                <w:lang w:val="es-CR"/>
              </w:rPr>
              <w:t> </w:t>
            </w:r>
          </w:p>
        </w:tc>
      </w:tr>
      <w:tr w:rsidR="003013DE" w:rsidRPr="003013DE" w14:paraId="797F37EA"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7BDAC9" w14:textId="62A1CD12"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Jiménez-García A.M.,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Alzheimer's Research &amp; Therapy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853040" w14:textId="1E062753"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990248" w14:textId="41D87C4E"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 systematic review and meta-analysis of basal microbiota alterations in Alzheimer's disease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F967BD" w14:textId="1D1C397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0D807F" w14:textId="27310142"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0762E0" w14:textId="1774693B"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observacionales que compararon composición de microbiota fecal en pacientes del espectro de enfermedad de Alzheimer (MCI/AD) frente a controles sanos.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6903F2" w14:textId="6C30A875"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en bases electrónicas hasta 2023/2024; extracción de medidas de diversidad microbiana y abundancia relativa de taxones; metaanálisis por géneros/familias cuando fue posible; evaluación de heterogeneidad y sesgo.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C902DA" w14:textId="38C6289B"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identificaron alteraciones consistentes en la composición del microbioma intestinal en pacientes con espectro AD comparados con controles.</w:t>
            </w:r>
          </w:p>
        </w:tc>
      </w:tr>
      <w:tr w:rsidR="003013DE" w:rsidRPr="003013DE" w14:paraId="191BC5B8"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90FA3B" w14:textId="03A75C73"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Autores: L. Wang, et al.</w:t>
            </w:r>
            <w:r w:rsidRPr="003013DE">
              <w:rPr>
                <w:rFonts w:ascii="Times New Roman" w:eastAsia="Times New Roman" w:hAnsi="Times New Roman" w:cs="Times New Roman"/>
                <w:color w:val="auto"/>
                <w:sz w:val="24"/>
                <w:szCs w:val="24"/>
              </w:rPr>
              <w:br/>
              <w:t>Fecha: 2024.</w:t>
            </w:r>
            <w:r w:rsidRPr="003013DE">
              <w:rPr>
                <w:rFonts w:ascii="Times New Roman" w:eastAsia="Times New Roman" w:hAnsi="Times New Roman" w:cs="Times New Roman"/>
                <w:color w:val="auto"/>
                <w:sz w:val="24"/>
                <w:szCs w:val="24"/>
              </w:rPr>
              <w:br/>
              <w:t>Fuente: Frontiers in Microbiology / PubMed Central</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DC6466" w14:textId="6D1F4A34"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049B62" w14:textId="5D839018"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Gut microbiome in Parkinson’s disease: meta-analysis and integrative assessment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C9E208" w14:textId="1EA402D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F1282C" w14:textId="3673A9CA"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9EDC9B" w14:textId="78CE42B9"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de secuenciación fecal que compararon microbiota intestinal entre pacientes con enfermedad de Parkinson y controles sanos.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81D7C2" w14:textId="64704165"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Búsqueda exhaustiva de estudios hasta 2023/2024; metaanálisis de abundancias taxonómicas y medidas de diversidad; análisis de subgrupos por región geográfica y </w:t>
            </w:r>
            <w:r w:rsidRPr="003013DE">
              <w:rPr>
                <w:rFonts w:ascii="Times New Roman" w:eastAsia="Times New Roman" w:hAnsi="Times New Roman" w:cs="Times New Roman"/>
                <w:color w:val="auto"/>
                <w:sz w:val="24"/>
                <w:szCs w:val="24"/>
                <w:lang w:val="es-CR"/>
              </w:rPr>
              <w:lastRenderedPageBreak/>
              <w:t>tratamiento antiparkinsoniano.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3F292F" w14:textId="2F2F1CEE"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Se observaron cambios reproducibles en varios taxones bacterianos en pacientes con Parkinson, consistentes con un patrón proinflamatorio </w:t>
            </w:r>
            <w:r w:rsidRPr="003013DE">
              <w:rPr>
                <w:rFonts w:ascii="Times New Roman" w:eastAsia="Times New Roman" w:hAnsi="Times New Roman" w:cs="Times New Roman"/>
                <w:color w:val="auto"/>
                <w:sz w:val="24"/>
                <w:szCs w:val="24"/>
                <w:lang w:val="es-CR"/>
              </w:rPr>
              <w:lastRenderedPageBreak/>
              <w:t>intestinal.</w:t>
            </w:r>
          </w:p>
        </w:tc>
      </w:tr>
      <w:tr w:rsidR="003013DE" w:rsidRPr="003013DE" w14:paraId="55A4C1B7"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7CEEEC" w14:textId="1673AFD9"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Z.S.W. Chui,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Scientific Reports / Nature Portfolio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E6ADBA" w14:textId="646EAFCA"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A371D1" w14:textId="264BD1BA"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Effects of microbiome-based interventions on cognitive and motor outcomes in neurodegenerative disease: systematic review and meta-analysis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523012" w14:textId="03DB81E8"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0B17E0" w14:textId="5DFD4D3F"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9FD799" w14:textId="0BC60D52"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Ensayos clínicos y estudios controlados que evaluaron intervenciones dirigidas al microbioma (probióticos, prebióticos, transplante fecal) en pacientes con enfermedades neurodegenerativas (AD, PD, otros).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1EDFA7" w14:textId="3BC9EA2E"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en bases principales; selección de ensayos controlados y estudios clínicos con desenlaces cognitivos o motores; metaanálisis de efectos (diferencias medias estandarizadas / OR) cuando fue posible; evaluación de riesgo de sesgo.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76BFB1" w14:textId="3919C83E"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Las intervenciones dirigidas al microbioma mostraron efectos modestos en dominios cognitivos y motores en varios ensayos; la evidencia presenta heterogeneidad entre formulaciones y duraciones.</w:t>
            </w:r>
          </w:p>
        </w:tc>
      </w:tr>
      <w:tr w:rsidR="003013DE" w:rsidRPr="003013DE" w14:paraId="31572968"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A87E98" w14:textId="386FC77A"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(Consorcio / autores del estudio multicéntrico)</w:t>
            </w:r>
            <w:r w:rsidRPr="003013DE">
              <w:rPr>
                <w:rFonts w:ascii="Times New Roman" w:eastAsia="Times New Roman" w:hAnsi="Times New Roman" w:cs="Times New Roman"/>
                <w:color w:val="auto"/>
                <w:sz w:val="24"/>
                <w:szCs w:val="24"/>
                <w:lang w:val="es-CR"/>
              </w:rPr>
              <w:br/>
              <w:t>Fecha: 2024.</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Fuente: mSystems (ASM journals)</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0D6363" w14:textId="055ABED0"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AAA275" w14:textId="74536165"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 xml:space="preserve">Meta-analysis of the human gut microbiome uncovers shared and disease-specific signatures across neurodegenerative </w:t>
            </w:r>
            <w:r w:rsidRPr="003013DE">
              <w:rPr>
                <w:rFonts w:ascii="Times New Roman" w:eastAsia="Times New Roman" w:hAnsi="Times New Roman" w:cs="Times New Roman"/>
                <w:color w:val="auto"/>
                <w:sz w:val="24"/>
                <w:szCs w:val="24"/>
              </w:rPr>
              <w:lastRenderedPageBreak/>
              <w:t>disorders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274603" w14:textId="737F2B3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lastRenderedPageBreak/>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B59CF6" w14:textId="2B724DD5"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5341DD" w14:textId="370F9D76"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Grandes cohortes con diferentes enfermedades (incluye datos sobre Parkinson, Alzheimer y otros trastornos neurodegenerativos) vs controles sanos; análisis comparativo inter-</w:t>
            </w:r>
            <w:r w:rsidRPr="003013DE">
              <w:rPr>
                <w:rFonts w:ascii="Times New Roman" w:eastAsia="Times New Roman" w:hAnsi="Times New Roman" w:cs="Times New Roman"/>
                <w:color w:val="auto"/>
                <w:sz w:val="24"/>
                <w:szCs w:val="24"/>
                <w:lang w:val="es-CR"/>
              </w:rPr>
              <w:lastRenderedPageBreak/>
              <w:t>enfermedad.</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12937A" w14:textId="5CFD4809"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Integración de datos de múltiples estudios mediante meta-análisis (normalización y análisis conjunto de abundancias taxonómicas); identificación de firmas compartidas y específicas por enfermedad; análisis </w:t>
            </w:r>
            <w:r w:rsidRPr="003013DE">
              <w:rPr>
                <w:rFonts w:ascii="Times New Roman" w:eastAsia="Times New Roman" w:hAnsi="Times New Roman" w:cs="Times New Roman"/>
                <w:color w:val="auto"/>
                <w:sz w:val="24"/>
                <w:szCs w:val="24"/>
                <w:lang w:val="es-CR"/>
              </w:rPr>
              <w:lastRenderedPageBreak/>
              <w:t>de robustez por cohorte/region.</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08123" w14:textId="34CF4746"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Se identificaron firmas microbianas compartidas entre ciertas enfermedades y otras específicas por diagnóstico, lo que sugiere patrones comunes de disbiosis y rasgos microbioma-</w:t>
            </w:r>
            <w:r w:rsidRPr="003013DE">
              <w:rPr>
                <w:rFonts w:ascii="Times New Roman" w:eastAsia="Times New Roman" w:hAnsi="Times New Roman" w:cs="Times New Roman"/>
                <w:color w:val="auto"/>
                <w:sz w:val="24"/>
                <w:szCs w:val="24"/>
                <w:lang w:val="es-CR"/>
              </w:rPr>
              <w:lastRenderedPageBreak/>
              <w:t>específicos en distintas enfermedades neurodegenerativas.</w:t>
            </w:r>
          </w:p>
        </w:tc>
      </w:tr>
      <w:tr w:rsidR="003013DE" w:rsidRPr="003013DE" w14:paraId="5582EF06"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DC40D6" w14:textId="335A88D0"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Ye Y.,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Scientific Reports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B04B93" w14:textId="735B0E42"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502DBB" w14:textId="126A8DB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Long-term antibiotic exposure, gut dysbiosis and cognitive decline: systematic review and meta-analysis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F724EB" w14:textId="7546F4B8"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5017DF" w14:textId="7D6CC7A9"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0B14F" w14:textId="1B50026B"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en humanos que examinaron asociación entre uso prolongado de antibióticos (o alteraciones sostenidas del microbiota) y medidas de función cognitiva / riesgo de deterioro cognitivo.</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F8F01BC" w14:textId="7CE71259"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en bases principales; meta-síntesis de estudios humanos con medidas cognitivas y análisis narrativo de evidencia mecanística en animales; evaluación de heterogeneidad.</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7B8AA7" w14:textId="53F19CD6"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 evidencia agrupada relacionó la alteración sostenida del microbiota intestinal con empeoramiento cognitivo en humanos y con cambios patofisiológicos en modelos animales.</w:t>
            </w:r>
            <w:r w:rsidRPr="003013DE">
              <w:rPr>
                <w:rStyle w:val="PiedepginaCar"/>
                <w:rFonts w:ascii="Times New Roman" w:eastAsia="Times New Roman" w:hAnsi="Times New Roman" w:cs="Times New Roman"/>
                <w:color w:val="auto"/>
                <w:sz w:val="24"/>
                <w:szCs w:val="24"/>
                <w:lang w:val="es-CR"/>
              </w:rPr>
              <w:t> </w:t>
            </w:r>
          </w:p>
        </w:tc>
      </w:tr>
      <w:tr w:rsidR="003013DE" w:rsidRPr="003013DE" w14:paraId="2AB47C70"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18A887" w14:textId="4A7FFF3B"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Chui Z.S.W., Chan L.M.L., Zhang E.W.H., et al.</w:t>
            </w:r>
            <w:r w:rsidRPr="003013DE">
              <w:rPr>
                <w:rFonts w:ascii="Times New Roman" w:eastAsia="Times New Roman" w:hAnsi="Times New Roman" w:cs="Times New Roman"/>
                <w:color w:val="auto"/>
                <w:sz w:val="24"/>
                <w:szCs w:val="24"/>
                <w:lang w:val="es-CR"/>
              </w:rPr>
              <w:br/>
              <w:t>Fecha: 2024.</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Fuente:pubmed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05F360" w14:textId="5AC7D655"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56636C" w14:textId="31602BAF"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Effects of microbiome-based interventions on neurodegenerative diseases: a systematic review and meta-analysis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30ECE5" w14:textId="67B5DAE0"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FCCBAE" w14:textId="3934231D"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1EBEC8" w14:textId="19F4E0E2"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Ensayos clínicos y estudios controlados que evaluaron intervenciones dirigidas al microbioma (probióticos, prebióticos, transplante fecal, dieta) en pacientes con enfermedades neurodegenerativas (Parkinson, Alzheimer y </w:t>
            </w:r>
            <w:r w:rsidRPr="003013DE">
              <w:rPr>
                <w:rFonts w:ascii="Times New Roman" w:eastAsia="Times New Roman" w:hAnsi="Times New Roman" w:cs="Times New Roman"/>
                <w:color w:val="auto"/>
                <w:sz w:val="24"/>
                <w:szCs w:val="24"/>
                <w:lang w:val="es-CR"/>
              </w:rPr>
              <w:lastRenderedPageBreak/>
              <w:t>otros).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9E024" w14:textId="533B32F5"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Búsqueda sistemática en bases principales hasta 2023; inclusión de RCTs y estudios controlados que reportaron desenlaces cognitivos, motores o sintomáticos; metaanálisis de efectos cuando hubo datos combinables (SMD/OR); evaluación de </w:t>
            </w:r>
            <w:r w:rsidRPr="003013DE">
              <w:rPr>
                <w:rFonts w:ascii="Times New Roman" w:eastAsia="Times New Roman" w:hAnsi="Times New Roman" w:cs="Times New Roman"/>
                <w:color w:val="auto"/>
                <w:sz w:val="24"/>
                <w:szCs w:val="24"/>
                <w:lang w:val="es-CR"/>
              </w:rPr>
              <w:lastRenderedPageBreak/>
              <w:t>riesgo de sesgo.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68849F" w14:textId="69A49E54"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Las intervenciones dirigidas al microbioma mostraron efectos modestos sobre desenlaces cognitivos y motores en los ensayos disponibles, con heterogeneidad entre formulaciones y duración de </w:t>
            </w:r>
            <w:r w:rsidRPr="003013DE">
              <w:rPr>
                <w:rFonts w:ascii="Times New Roman" w:eastAsia="Times New Roman" w:hAnsi="Times New Roman" w:cs="Times New Roman"/>
                <w:color w:val="auto"/>
                <w:sz w:val="24"/>
                <w:szCs w:val="24"/>
                <w:lang w:val="es-CR"/>
              </w:rPr>
              <w:lastRenderedPageBreak/>
              <w:t>tratamiento.</w:t>
            </w:r>
            <w:r w:rsidRPr="003013DE">
              <w:rPr>
                <w:rStyle w:val="PiedepginaCar"/>
                <w:rFonts w:ascii="Times New Roman" w:eastAsia="Times New Roman" w:hAnsi="Times New Roman" w:cs="Times New Roman"/>
                <w:color w:val="auto"/>
                <w:sz w:val="24"/>
                <w:szCs w:val="24"/>
                <w:lang w:val="es-CR"/>
              </w:rPr>
              <w:t> </w:t>
            </w:r>
          </w:p>
        </w:tc>
      </w:tr>
      <w:tr w:rsidR="003013DE" w:rsidRPr="003013DE" w14:paraId="3D868111"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16A2C3" w14:textId="3F3C0201"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Li H.,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2023.</w:t>
            </w:r>
            <w:r w:rsidRPr="003013DE">
              <w:rPr>
                <w:rFonts w:ascii="Times New Roman" w:eastAsia="Times New Roman" w:hAnsi="Times New Roman" w:cs="Times New Roman"/>
                <w:color w:val="auto"/>
                <w:sz w:val="24"/>
                <w:szCs w:val="24"/>
              </w:rPr>
              <w:br/>
              <w:t>Fuente: Journal / PubMed Central</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6EF705" w14:textId="39778A33"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074F09" w14:textId="37C6BEC6"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Association between inflammatory bowel disease and risk of Parkinson's disease: systematic review and meta-analysis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6FEC67" w14:textId="4E9BE598"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CD06FB" w14:textId="6F8BD685"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91A3AC" w14:textId="2D1AB582"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observacionales y cohortes poblacionales que evaluaron el riesgo de Parkinson en pacientes con enfermedad inflamatoria intestinal (EII / IBD) comparados con población general.</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40EB2E" w14:textId="63815AE2"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de estudios epidemiológicos; metaanálisis para estimar RR/HR combinados; subanálisis por tratamiento (uso de anti-TNF, azatioprina) y por edad.</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8B1A8D" w14:textId="2E214788"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 metaanálisis encontró un incremento moderado del riesgo de Parkinson en pacientes con IBD (RR/HR agrupado &gt;1 en varios análisis), con variaciones según el uso de fármacos inmunomoduladores.</w:t>
            </w:r>
            <w:r w:rsidRPr="003013DE">
              <w:rPr>
                <w:rStyle w:val="PiedepginaCar"/>
                <w:rFonts w:ascii="Times New Roman" w:eastAsia="Times New Roman" w:hAnsi="Times New Roman" w:cs="Times New Roman"/>
                <w:color w:val="auto"/>
                <w:sz w:val="24"/>
                <w:szCs w:val="24"/>
                <w:lang w:val="es-CR"/>
              </w:rPr>
              <w:t> </w:t>
            </w:r>
          </w:p>
        </w:tc>
      </w:tr>
      <w:tr w:rsidR="003013DE" w:rsidRPr="003013DE" w14:paraId="7B71586B"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124DF4" w14:textId="219E5EBC"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Romano S.,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2021.</w:t>
            </w:r>
            <w:r w:rsidRPr="003013DE">
              <w:rPr>
                <w:rFonts w:ascii="Times New Roman" w:eastAsia="Times New Roman" w:hAnsi="Times New Roman" w:cs="Times New Roman"/>
                <w:color w:val="auto"/>
                <w:sz w:val="24"/>
                <w:szCs w:val="24"/>
              </w:rPr>
              <w:br/>
              <w:t>Fuente: Nature Communications</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456F3F" w14:textId="4E74908F"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C9830E" w14:textId="4CB7CCB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Meta-analysis of the Parkinson’s disease gut microbiome suggests alterations linked to intestinal inflammation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B56849" w14:textId="3DAFCC6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6E74D6" w14:textId="025AD003"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85180D" w14:textId="40A0061F"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Pacientes con enfermedad de Parkinson y controles sanos incluidos en múltiples cohortes internacionales de secuenciación intestinal.</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F86A30" w14:textId="4FCEFCCE"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Integración de datos de estudios independientes mediante metaanálisis (normalización intercohorte); identificación de taxones reproduciblemente alterados en Parkinson; evaluación de asociaciones con </w:t>
            </w:r>
            <w:r w:rsidRPr="003013DE">
              <w:rPr>
                <w:rFonts w:ascii="Times New Roman" w:eastAsia="Times New Roman" w:hAnsi="Times New Roman" w:cs="Times New Roman"/>
                <w:color w:val="auto"/>
                <w:sz w:val="24"/>
                <w:szCs w:val="24"/>
                <w:lang w:val="es-CR"/>
              </w:rPr>
              <w:lastRenderedPageBreak/>
              <w:t>marcadores inflamatorios.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0E8782" w14:textId="1DAB36E4"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Se identificaron cambios consistentes en la microbiota de pacientes con Parkinson, con firmas bacterianas que sugieren un componente inflamatorio intestinal asociado a la enfermedad.</w:t>
            </w:r>
            <w:r w:rsidRPr="003013DE">
              <w:rPr>
                <w:rStyle w:val="PiedepginaCar"/>
                <w:rFonts w:ascii="Times New Roman" w:eastAsia="Times New Roman" w:hAnsi="Times New Roman" w:cs="Times New Roman"/>
                <w:color w:val="auto"/>
                <w:sz w:val="24"/>
                <w:szCs w:val="24"/>
                <w:lang w:val="es-CR"/>
              </w:rPr>
              <w:t> </w:t>
            </w:r>
          </w:p>
        </w:tc>
      </w:tr>
      <w:tr w:rsidR="003013DE" w:rsidRPr="003013DE" w14:paraId="6027A2B7"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5A0B0A" w14:textId="60634AC7"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Mo R.,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Journal (PubMed-indexed)</w:t>
            </w:r>
            <w:r w:rsidRPr="003013DE">
              <w:rPr>
                <w:rStyle w:val="PiedepginaCar"/>
                <w:rFonts w:ascii="Times New Roman" w:eastAsia="Times New Roman" w:hAnsi="Times New Roman" w:cs="Times New Roman"/>
                <w:color w:val="auto"/>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665661" w14:textId="23FE1D91"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14C3F1" w14:textId="403B492F"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Probiotic supplementation and cognitive performance in mild cognitive impairment and Alzheimer's disease: a systematic review and meta-analysis of randomized controlled trials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ADB85D" w14:textId="69279AE2"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868A06" w14:textId="209E2BE0"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E69D189" w14:textId="1FA02137"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Adultos con deterioro cognitivo leve (MCI) o enfermedad de Alzheimer incluidos en RCTs que evaluaron probióticos/prebióticos frente a placebo.</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9847F0" w14:textId="33C15203"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hasta 2023/2024; extracción de cambios en escalas cognitivas (MMSE, MoCA) y biomarcadores inflamatorios/metabólicos; metaanálisis de diferencias medias estandarizadas y evaluación de heterogeneidad.</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2BAA0F" w14:textId="547DD640"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El metaanálisis encontró una mejora global modesta en medidas cognitivas en los grupos sometidos a probióticos en comparación con placebo en los ensayos disponibles, pero la heterogeneidad entre formulaciones y la calidad metodológica limitada requieren mayor investigación.</w:t>
            </w:r>
          </w:p>
        </w:tc>
      </w:tr>
      <w:tr w:rsidR="003013DE" w:rsidRPr="003013DE" w14:paraId="06067DE0"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E9172F" w14:textId="3C651E4C"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Consorcio multicéntrico (autores agrupados)</w:t>
            </w:r>
            <w:r w:rsidRPr="003013DE">
              <w:rPr>
                <w:rFonts w:ascii="Times New Roman" w:eastAsia="Times New Roman" w:hAnsi="Times New Roman" w:cs="Times New Roman"/>
                <w:color w:val="auto"/>
                <w:sz w:val="24"/>
                <w:szCs w:val="24"/>
                <w:lang w:val="es-CR"/>
              </w:rPr>
              <w:br/>
              <w:t>Fecha: 2024.</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 xml:space="preserve">Fuente: mSystems / </w:t>
            </w:r>
            <w:r w:rsidRPr="003013DE">
              <w:rPr>
                <w:rFonts w:ascii="Times New Roman" w:eastAsia="Times New Roman" w:hAnsi="Times New Roman" w:cs="Times New Roman"/>
                <w:color w:val="auto"/>
                <w:sz w:val="24"/>
                <w:szCs w:val="24"/>
              </w:rPr>
              <w:lastRenderedPageBreak/>
              <w:t>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2B16ED" w14:textId="16FE2081"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lastRenderedPageBreak/>
              <w:t>15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B6C6C" w14:textId="385D1852"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 xml:space="preserve">Meta-analysis of shared and disease-specific gut microbiome signatures across neurodegenerative </w:t>
            </w:r>
            <w:r w:rsidRPr="003013DE">
              <w:rPr>
                <w:rFonts w:ascii="Times New Roman" w:eastAsia="Times New Roman" w:hAnsi="Times New Roman" w:cs="Times New Roman"/>
                <w:color w:val="auto"/>
                <w:sz w:val="24"/>
                <w:szCs w:val="24"/>
              </w:rPr>
              <w:lastRenderedPageBreak/>
              <w:t>disorders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1B526A" w14:textId="6256FBDE"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lastRenderedPageBreak/>
              <w:t xml:space="preserve">Revisión sistemática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35648F" w14:textId="0B2CE9B1"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shd w:val="clear" w:color="auto" w:fill="FFFFFF"/>
              </w:rPr>
              <w:t>1a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5F7054" w14:textId="5A57693E"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Grandes cohortes de pacientes con distintas enfermedades neurodegenerativas (Parkinson, Alzheimer, esclerosis múltiple y otras) y controles sanos; </w:t>
            </w:r>
            <w:r w:rsidRPr="003013DE">
              <w:rPr>
                <w:rFonts w:ascii="Times New Roman" w:eastAsia="Times New Roman" w:hAnsi="Times New Roman" w:cs="Times New Roman"/>
                <w:color w:val="auto"/>
                <w:sz w:val="24"/>
                <w:szCs w:val="24"/>
                <w:lang w:val="es-CR"/>
              </w:rPr>
              <w:lastRenderedPageBreak/>
              <w:t>inclusión de datos de secuenciación</w:t>
            </w:r>
            <w:r w:rsidRPr="003013DE">
              <w:rPr>
                <w:rStyle w:val="PiedepginaCar"/>
                <w:rFonts w:ascii="Times New Roman" w:eastAsia="Times New Roman" w:hAnsi="Times New Roman" w:cs="Times New Roman"/>
                <w:color w:val="auto"/>
                <w:sz w:val="24"/>
                <w:szCs w:val="24"/>
                <w:lang w:val="es-CR"/>
              </w:rPr>
              <w:t> </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EBB277" w14:textId="7746E946" w:rsidR="00007207" w:rsidRPr="003013DE" w:rsidRDefault="00007207" w:rsidP="0030351C">
            <w:pPr>
              <w:pStyle w:val="Descripcin"/>
              <w:jc w:val="both"/>
              <w:rPr>
                <w:rFonts w:ascii="Times New Roman" w:hAnsi="Times New Roman" w:cs="Times New Roman"/>
                <w:color w:val="auto"/>
                <w:sz w:val="24"/>
                <w:szCs w:val="24"/>
                <w:lang w:val="es-CR"/>
              </w:rPr>
            </w:pP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AC1DF8" w14:textId="51A9B9BA" w:rsidR="00007207" w:rsidRPr="003013DE" w:rsidRDefault="00007207" w:rsidP="0030351C">
            <w:pPr>
              <w:pStyle w:val="Descripcin"/>
              <w:widowControl w:val="0"/>
              <w:jc w:val="both"/>
              <w:rPr>
                <w:rFonts w:ascii="Times New Roman" w:hAnsi="Times New Roman" w:cs="Times New Roman"/>
                <w:color w:val="auto"/>
                <w:sz w:val="24"/>
                <w:szCs w:val="24"/>
                <w:lang w:val="es-CR"/>
              </w:rPr>
            </w:pPr>
          </w:p>
        </w:tc>
      </w:tr>
      <w:tr w:rsidR="003013DE" w:rsidRPr="003013DE" w14:paraId="2AEA8BAB"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E7618F" w14:textId="4A9D93ED"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Heravi FS, Viklund N, et al.</w:t>
            </w:r>
            <w:r w:rsidRPr="003013DE">
              <w:rPr>
                <w:rFonts w:ascii="Times New Roman" w:eastAsia="Times New Roman" w:hAnsi="Times New Roman" w:cs="Times New Roman"/>
                <w:color w:val="auto"/>
                <w:sz w:val="24"/>
                <w:szCs w:val="24"/>
                <w:lang w:val="es-CR"/>
              </w:rPr>
              <w:br/>
              <w:t>Fecha: 2023.</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Fuente: Journal/PM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968323" w14:textId="14BF7A03"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31CDE7" w14:textId="0B5C5633"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Gut microbiota composition in patients with Parkinson's disease: a systematic revie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B4D7E1" w14:textId="6C4B7025"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CABF16" w14:textId="67D6017C"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117B7E" w14:textId="0567DAB2"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humanos que compararon la composición de la microbiota fecal entre pacientes con enfermedad de Parkinson y controles sanos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BB7C13" w14:textId="05476817"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de estudios observacionales que analizaron la microbiota intestinal en Parkinson; extracción y síntesis cualitativa de hallazgos taxonómicos y medidas de diversidad (sin pooling cuantitativo)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939C93" w14:textId="265A9EDA"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describen alteraciones consistentes en la composición del microbioma intestinal en pacientes con Parkinson respecto a controles; la heterogeneidad entre estudios limita generalizaciones definitivas.</w:t>
            </w:r>
          </w:p>
        </w:tc>
      </w:tr>
      <w:tr w:rsidR="003013DE" w:rsidRPr="003013DE" w14:paraId="1CE7699D"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FCF7EA" w14:textId="2D796FD6"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Sun J.,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2021.</w:t>
            </w:r>
            <w:r w:rsidRPr="003013DE">
              <w:rPr>
                <w:rFonts w:ascii="Times New Roman" w:eastAsia="Times New Roman" w:hAnsi="Times New Roman" w:cs="Times New Roman"/>
                <w:color w:val="auto"/>
                <w:sz w:val="24"/>
                <w:szCs w:val="24"/>
              </w:rPr>
              <w:br/>
              <w:t>Fuente: Journal/PubMe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BF88DA" w14:textId="0E8BF4A5"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F1D98D" w14:textId="57A8A13C"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Gut microbiome in amyotrophic lateral sclerosis: a systematic revie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33FC92" w14:textId="48D4F11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6D3ABE" w14:textId="6E39D791"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734C5C" w14:textId="164CFA61"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preclínicos y humanos que investigaron la composición del microbioma y su relación con la ELA (ALS)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454E40" w14:textId="3BD5F3E8"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sistemática de la literatura experimental y clínica sobre microbiota en ELA; síntesis narrativa de resultados y limitaciones metodológicas (sin metaanálisis)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D7A525" w14:textId="19D85D1F"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Los estudios en animales muestran alteraciones consistentes de la microbiota asociadas a modelos de ELA; la evidencia en humanos es heterogénea e inconclusa</w:t>
            </w:r>
          </w:p>
        </w:tc>
      </w:tr>
      <w:tr w:rsidR="003013DE" w:rsidRPr="003013DE" w14:paraId="37FF08A5"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CB7876" w14:textId="02749547"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Batagianni M.,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2023.</w:t>
            </w:r>
            <w:r w:rsidRPr="003013DE">
              <w:rPr>
                <w:rFonts w:ascii="Times New Roman" w:eastAsia="Times New Roman" w:hAnsi="Times New Roman" w:cs="Times New Roman"/>
                <w:color w:val="auto"/>
                <w:sz w:val="24"/>
                <w:szCs w:val="24"/>
              </w:rPr>
              <w:br/>
              <w:t>Fuente: Journal/ PubMe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D92B32" w14:textId="53EC64E2"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5AFF64" w14:textId="6B62458E"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Assessing the relationship of gut microbiota with neurodegenerative disorders: a systematic revie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04A48D" w14:textId="1DA419E9"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298D6A" w14:textId="6ED57A67"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22ED55" w14:textId="592ADADA"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clínicos y experimentales que vinculan la disbiosis intestinal con trastornos neurodegenerativos (Parkinson, Alzheimer, otras)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F796D7" w14:textId="2FBA0E7A"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en bases electrónicas; extracción y síntesis cualitativa de evidencia sobre asociaciones microbiota–enfermedad y posibles mecanismos (sin pooling cuantitativo)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62A273" w14:textId="75643ACA"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 literatura sugiere asociaciones entre disbiosis intestinal y varias enfermedades neurodegenerativas, con evidencia mecanística emergente pero heterogénea entre estudios.</w:t>
            </w:r>
          </w:p>
        </w:tc>
      </w:tr>
      <w:tr w:rsidR="003013DE" w:rsidRPr="003013DE" w14:paraId="40DEED0E"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6C3282" w14:textId="73A3E61F"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Rojo ND.,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Neurobiology / PubMe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DA5329" w14:textId="71E72107"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19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B50CA3" w14:textId="4DE5BE32"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Convergence of neuroinflammation, microbiota, and molecular pathology in Parkinson’s disease: a systematic revie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B285CC" w14:textId="3CF2B81E"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C3A442" w14:textId="167AA980"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816290" w14:textId="10B7EFD8"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humanos y preclínicos que exploran interacciones entre microbiota intestinal, neuroinflamación y patología molecular en Parkinson</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1AF03A7" w14:textId="400CCAED"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sistemática de estudios clínicos y experimentales; síntesis narrativa de evidencia que conecta microbiota, respuesta inmune y cambios neuropatológicos (sin metaanálisis)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2C199A" w14:textId="4F4B6074"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identifican evidencias convergentes que vinculan alteraciones microbianas con neuroinflamación y vías patológicas en Parkinson; se señalan lagunas y necesidad de estudios longitudinales</w:t>
            </w:r>
          </w:p>
        </w:tc>
      </w:tr>
      <w:tr w:rsidR="003013DE" w:rsidRPr="003013DE" w14:paraId="1C0F66F4"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391032" w14:textId="192C27B7"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 xml:space="preserve">Autores: (Grupo autoral, revisión en español) — artículo de </w:t>
            </w:r>
            <w:r w:rsidRPr="003013DE">
              <w:rPr>
                <w:rFonts w:ascii="Times New Roman" w:eastAsia="Times New Roman" w:hAnsi="Times New Roman" w:cs="Times New Roman"/>
                <w:color w:val="auto"/>
                <w:sz w:val="24"/>
                <w:szCs w:val="24"/>
                <w:lang w:val="es-CR"/>
              </w:rPr>
              <w:lastRenderedPageBreak/>
              <w:t>revisión.</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2025.</w:t>
            </w:r>
            <w:r w:rsidRPr="003013DE">
              <w:rPr>
                <w:rFonts w:ascii="Times New Roman" w:eastAsia="Times New Roman" w:hAnsi="Times New Roman" w:cs="Times New Roman"/>
                <w:color w:val="auto"/>
                <w:sz w:val="24"/>
                <w:szCs w:val="24"/>
              </w:rPr>
              <w:br/>
              <w:t>Fuente: SciELO Españ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2F2D65" w14:textId="360FB411"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lastRenderedPageBreak/>
              <w:t>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ED76B9" w14:textId="4A1FF017"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Una revisión actual sobre enfoques terapéuticos microbianos en </w:t>
            </w:r>
            <w:r w:rsidRPr="003013DE">
              <w:rPr>
                <w:rFonts w:ascii="Times New Roman" w:eastAsia="Times New Roman" w:hAnsi="Times New Roman" w:cs="Times New Roman"/>
                <w:color w:val="auto"/>
                <w:sz w:val="24"/>
                <w:szCs w:val="24"/>
                <w:lang w:val="es-CR"/>
              </w:rPr>
              <w:lastRenderedPageBreak/>
              <w:t>enfermedades neurodegenerativa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F07AC9" w14:textId="3E9FEA08"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lastRenderedPageBreak/>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A35A39" w14:textId="497E9EAF"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C8F114" w14:textId="75FBF28D"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Estudios preclínicos y clínicos sobre intervenciones que modulan microbiota </w:t>
            </w:r>
            <w:r w:rsidRPr="003013DE">
              <w:rPr>
                <w:rFonts w:ascii="Times New Roman" w:eastAsia="Times New Roman" w:hAnsi="Times New Roman" w:cs="Times New Roman"/>
                <w:color w:val="auto"/>
                <w:sz w:val="24"/>
                <w:szCs w:val="24"/>
                <w:lang w:val="es-CR"/>
              </w:rPr>
              <w:lastRenderedPageBreak/>
              <w:t>(probióticos, dieta, TMR) en enfermedades neurodegenerativas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D58B33" w14:textId="5AEF622E"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Revisión sistemática de literatura disponible en bases y repositorios, con síntesis cualitativa de </w:t>
            </w:r>
            <w:r w:rsidRPr="003013DE">
              <w:rPr>
                <w:rFonts w:ascii="Times New Roman" w:eastAsia="Times New Roman" w:hAnsi="Times New Roman" w:cs="Times New Roman"/>
                <w:color w:val="auto"/>
                <w:sz w:val="24"/>
                <w:szCs w:val="24"/>
                <w:lang w:val="es-CR"/>
              </w:rPr>
              <w:lastRenderedPageBreak/>
              <w:t>enfoques terapéuticos microbianos y resultados reportados (sin metaanálisis)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49CB77" w14:textId="25BFB100"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Se resume la evidencia sobre intervenciones dirigidas al microbioma como estrategia </w:t>
            </w:r>
            <w:r w:rsidRPr="003013DE">
              <w:rPr>
                <w:rFonts w:ascii="Times New Roman" w:eastAsia="Times New Roman" w:hAnsi="Times New Roman" w:cs="Times New Roman"/>
                <w:color w:val="auto"/>
                <w:sz w:val="24"/>
                <w:szCs w:val="24"/>
                <w:lang w:val="es-CR"/>
              </w:rPr>
              <w:lastRenderedPageBreak/>
              <w:t>terapéutica potencial en enfermedades neurodegenerativas, destacando resultados prometedores pero heterogeneidad y necesidad de ensayos estandarizados.</w:t>
            </w:r>
          </w:p>
        </w:tc>
      </w:tr>
      <w:tr w:rsidR="003013DE" w:rsidRPr="003013DE" w14:paraId="06B6E24E"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ED6680" w14:textId="463F5040"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Zhao Y.,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Pharmaceuticals (MDPI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81F765" w14:textId="18F183BB"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FCAEB0" w14:textId="2F679C46"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Gut Microbiota, Mild Cognitive Impairment and Dementia: A Systematic Revie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C67D57" w14:textId="22EDF500"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0C33F8F" w14:textId="131465BD"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6A1954" w14:textId="7A5518F8"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humanos con individuos con deterioro cognitivo leve (MCI) o demencia, y análisis de microbiota intestinal</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5A972F" w14:textId="258F127A"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en bases electrónicas hasta 2023; inclusión de estudios que compararon composición microbiana en MCI/demencia vs controles; síntesis cualitativa sin pooling estadístico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66E6F5" w14:textId="33DFB317"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encontró asociación entre alteraciones de la microbiota intestinal (menos bacterias productoras de SCFA, más bacterias pro-inflamatorias) y deterioro cognitivo/MCI/demencia en los estudios revisados</w:t>
            </w:r>
          </w:p>
        </w:tc>
      </w:tr>
      <w:tr w:rsidR="003013DE" w:rsidRPr="003013DE" w14:paraId="5E163A3C"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2C7CC6" w14:textId="07AEFB17"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Fecha: 2023</w:t>
            </w:r>
            <w:r w:rsidRPr="003013DE">
              <w:rPr>
                <w:rFonts w:ascii="Times New Roman" w:eastAsia="Times New Roman" w:hAnsi="Times New Roman" w:cs="Times New Roman"/>
                <w:color w:val="auto"/>
                <w:sz w:val="24"/>
                <w:szCs w:val="24"/>
              </w:rPr>
              <w:br/>
              <w:t>Fuente: Journal of Neurology / PubMe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BB9F1C" w14:textId="62F40C78"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D3AD4B" w14:textId="2A961D9D"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 xml:space="preserve">Gut Microbiota Composition in Patients with Neurodegenerative </w:t>
            </w:r>
            <w:r w:rsidRPr="003013DE">
              <w:rPr>
                <w:rFonts w:ascii="Times New Roman" w:eastAsia="Times New Roman" w:hAnsi="Times New Roman" w:cs="Times New Roman"/>
                <w:color w:val="auto"/>
                <w:sz w:val="24"/>
                <w:szCs w:val="24"/>
              </w:rPr>
              <w:lastRenderedPageBreak/>
              <w:t>Disorders (Parkinson’s and Alzheimer’s) and Healthy Controls: A Systematic Revie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ABF1F5" w14:textId="1957B4C5"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lastRenderedPageBreak/>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6E2A6F" w14:textId="53358641"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5EA37D" w14:textId="670AD052"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42 estudios incluidos (26 PD, 16 AD) comparando </w:t>
            </w:r>
            <w:r w:rsidRPr="003013DE">
              <w:rPr>
                <w:rFonts w:ascii="Times New Roman" w:eastAsia="Times New Roman" w:hAnsi="Times New Roman" w:cs="Times New Roman"/>
                <w:color w:val="auto"/>
                <w:sz w:val="24"/>
                <w:szCs w:val="24"/>
                <w:lang w:val="es-CR"/>
              </w:rPr>
              <w:lastRenderedPageBreak/>
              <w:t>microbiota de pacientes vs controles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B2D0F9" w14:textId="43695180"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Búsqueda en PubMed/Medline/Embase hasta la fecha; evaluación de riesgo de sesgo; síntesis </w:t>
            </w:r>
            <w:r w:rsidRPr="003013DE">
              <w:rPr>
                <w:rFonts w:ascii="Times New Roman" w:eastAsia="Times New Roman" w:hAnsi="Times New Roman" w:cs="Times New Roman"/>
                <w:color w:val="auto"/>
                <w:sz w:val="24"/>
                <w:szCs w:val="24"/>
                <w:lang w:val="es-CR"/>
              </w:rPr>
              <w:lastRenderedPageBreak/>
              <w:t>narrativa de resultados de composición del microbiota intestinal entre grupos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079CC7" w14:textId="7E321E1F"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En la mayoría de los estudios analizados había diferencias en composición microbiana </w:t>
            </w:r>
            <w:r w:rsidRPr="003013DE">
              <w:rPr>
                <w:rFonts w:ascii="Times New Roman" w:eastAsia="Times New Roman" w:hAnsi="Times New Roman" w:cs="Times New Roman"/>
                <w:color w:val="auto"/>
                <w:sz w:val="24"/>
                <w:szCs w:val="24"/>
                <w:lang w:val="es-CR"/>
              </w:rPr>
              <w:lastRenderedPageBreak/>
              <w:t>entre pacientes con PD o AD y controles, lo que sugiere un patrón común de alteración del microbioma intestinal en estas enfermedades</w:t>
            </w:r>
          </w:p>
        </w:tc>
      </w:tr>
      <w:tr w:rsidR="003013DE" w:rsidRPr="003013DE" w14:paraId="0CF27634"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147EA3" w14:textId="73319CF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lastRenderedPageBreak/>
              <w:t>Autores: Bruno Bonnechère, Najaf Amin, Cornelia van Duijn</w:t>
            </w:r>
            <w:r w:rsidRPr="003013DE">
              <w:rPr>
                <w:rFonts w:ascii="Times New Roman" w:eastAsia="Times New Roman" w:hAnsi="Times New Roman" w:cs="Times New Roman"/>
                <w:color w:val="auto"/>
                <w:sz w:val="24"/>
                <w:szCs w:val="24"/>
              </w:rPr>
              <w:br/>
              <w:t>Fecha: 2022</w:t>
            </w:r>
            <w:r w:rsidRPr="003013DE">
              <w:rPr>
                <w:rFonts w:ascii="Times New Roman" w:eastAsia="Times New Roman" w:hAnsi="Times New Roman" w:cs="Times New Roman"/>
                <w:color w:val="auto"/>
                <w:sz w:val="24"/>
                <w:szCs w:val="24"/>
              </w:rPr>
              <w:br/>
              <w:t>Fuente: International Journal of Molecular Sciences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4B132F" w14:textId="5F8A1167"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2BFD2E" w14:textId="5B8F4F89"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What Are the Key Gut Microbiota Involved in Neurological Diseases? A Systematic Revie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9C9C9D" w14:textId="7D29EEE5"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30F0C7" w14:textId="34A71571"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91CF8A" w14:textId="1ADFC3DD"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sobre distintos trastornos neurológicos (AD, PD, MS, ALS, accidente cerebrovascular) con datos de microbiota intestinal (52 estudios, 5,496 pacientes).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D3EBC0" w14:textId="2890AF87"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inclusión de estudios de distintas patologías neurológicas; síntesis narrativa de los géneros microbianos más recurrentemente alterados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07FFF0" w14:textId="78A5BB4E"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identificaron géneros clave de microbiota (Akkermansia, Faecalibacterium, Prevotella), y se encontró que ciertos trastornos neurológicos comparten alteraciones en la microbiota, aunque la heterogeneidad y bajo número de estudios para algunas patologías limitan la interpretación</w:t>
            </w:r>
          </w:p>
        </w:tc>
      </w:tr>
      <w:tr w:rsidR="003013DE" w:rsidRPr="003013DE" w14:paraId="33209110"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D84DE2" w14:textId="798504B3"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Autores: Biljo V. Joseph y otros</w:t>
            </w:r>
            <w:r w:rsidRPr="003013DE">
              <w:rPr>
                <w:rFonts w:ascii="Times New Roman" w:eastAsia="Times New Roman" w:hAnsi="Times New Roman" w:cs="Times New Roman"/>
                <w:color w:val="auto"/>
                <w:sz w:val="24"/>
                <w:szCs w:val="24"/>
                <w:lang w:val="es-CR"/>
              </w:rPr>
              <w:br/>
              <w:t>Fecha: 2024</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lang w:val="es-CR"/>
              </w:rPr>
              <w:lastRenderedPageBreak/>
              <w:t>Fuente: Microbiology Researc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309BE3" w14:textId="4AC83563"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lastRenderedPageBreak/>
              <w:t>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D92390" w14:textId="38AEC175"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 xml:space="preserve">The Role of the Gut Microbiota in Neurodegenerative </w:t>
            </w:r>
            <w:r w:rsidRPr="003013DE">
              <w:rPr>
                <w:rFonts w:ascii="Times New Roman" w:eastAsia="Times New Roman" w:hAnsi="Times New Roman" w:cs="Times New Roman"/>
                <w:color w:val="auto"/>
                <w:sz w:val="24"/>
                <w:szCs w:val="24"/>
              </w:rPr>
              <w:lastRenderedPageBreak/>
              <w:t>Disease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362BD1" w14:textId="7D25E0E2"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lastRenderedPageBreak/>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3BEF55" w14:textId="7BEC17AB"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5953D7" w14:textId="5E26ED8E"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Estudios humanos y preclínicos que investigaron la </w:t>
            </w:r>
            <w:r w:rsidRPr="003013DE">
              <w:rPr>
                <w:rFonts w:ascii="Times New Roman" w:eastAsia="Times New Roman" w:hAnsi="Times New Roman" w:cs="Times New Roman"/>
                <w:color w:val="auto"/>
                <w:sz w:val="24"/>
                <w:szCs w:val="24"/>
                <w:lang w:val="es-CR"/>
              </w:rPr>
              <w:lastRenderedPageBreak/>
              <w:t>interacción microbiota intestinal – enfermedades neurodegenerativas (Alzheimer, Parkinson, Huntington, ALS)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F22F47" w14:textId="2F6F81EA"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Revisión exhaustiva de la literatura hasta abril 2024; síntesis narrativa de </w:t>
            </w:r>
            <w:r w:rsidRPr="003013DE">
              <w:rPr>
                <w:rFonts w:ascii="Times New Roman" w:eastAsia="Times New Roman" w:hAnsi="Times New Roman" w:cs="Times New Roman"/>
                <w:color w:val="auto"/>
                <w:sz w:val="24"/>
                <w:szCs w:val="24"/>
                <w:lang w:val="es-CR"/>
              </w:rPr>
              <w:lastRenderedPageBreak/>
              <w:t>los mecanismos por los cuales la disbiosis puede contribuir a enfermedades neurodegenerativas; sin metaanálisis cuantitativo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0C9E45" w14:textId="5979F2BE"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 xml:space="preserve">La disbiosis intestinal (como cambios en composición de </w:t>
            </w:r>
            <w:r w:rsidRPr="003013DE">
              <w:rPr>
                <w:rFonts w:ascii="Times New Roman" w:eastAsia="Times New Roman" w:hAnsi="Times New Roman" w:cs="Times New Roman"/>
                <w:color w:val="auto"/>
                <w:sz w:val="24"/>
                <w:szCs w:val="24"/>
                <w:lang w:val="es-CR"/>
              </w:rPr>
              <w:lastRenderedPageBreak/>
              <w:t>microbiota) se ha vinculado a enfermedades neurodegenerativas a través de vías como neuroinflamación, estrés oxidativo y daño neuronal; se plantea la necesidad de investigaciones más integradas en humanos</w:t>
            </w:r>
          </w:p>
        </w:tc>
      </w:tr>
      <w:tr w:rsidR="003013DE" w:rsidRPr="003013DE" w14:paraId="63A176E0"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69DE0B" w14:textId="6B90F1BB"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Fecha: 2024</w:t>
            </w:r>
            <w:r w:rsidRPr="003013DE">
              <w:rPr>
                <w:rFonts w:ascii="Times New Roman" w:eastAsia="Times New Roman" w:hAnsi="Times New Roman" w:cs="Times New Roman"/>
                <w:color w:val="auto"/>
                <w:sz w:val="24"/>
                <w:szCs w:val="24"/>
                <w:lang w:val="es-CR"/>
              </w:rPr>
              <w:br/>
              <w:t>Fuente: Brain Sciences (MDPI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780D90" w14:textId="20AC6A57"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ACFE52" w14:textId="6F0D0224"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 Review of the Consequences of Gut Microbiota in Neurodegenerative Disorders and Agin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A53B54" w14:textId="26B39B25"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Metaanalisis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E1A716" w14:textId="362B74DB"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1b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D3B8DA" w14:textId="5233D0B9"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sobre edad, neurodegeneración (especialmente Alzheimer) y microbiota intestinal.</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67766F" w14:textId="242AF12B"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sistemática de literatura hasta noviembre 2024; síntesis cualitativa de la relación entre microbiota, envejecimiento, neurodegeneración y posibles terapias (fecal transplant, probióticos)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37681A" w14:textId="15AB21A4"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Las alteraciones en el microbioma están asociadas con la neuroinflamación y el envejecimiento cerebral, y se sugieren terapias que modulan microbiota como posibles estrategias para mejorar la salud cerebral</w:t>
            </w:r>
          </w:p>
        </w:tc>
      </w:tr>
      <w:tr w:rsidR="003013DE" w:rsidRPr="003013DE" w14:paraId="172BCF35"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A4984" w14:textId="17A946AC"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lastRenderedPageBreak/>
              <w:t>Autores: Wang J., et al.</w:t>
            </w:r>
            <w:r w:rsidRPr="003013DE">
              <w:rPr>
                <w:rFonts w:ascii="Times New Roman" w:eastAsia="Times New Roman" w:hAnsi="Times New Roman" w:cs="Times New Roman"/>
                <w:color w:val="auto"/>
                <w:sz w:val="24"/>
                <w:szCs w:val="24"/>
              </w:rPr>
              <w:br/>
              <w:t>Fecha: 2024.</w:t>
            </w:r>
            <w:r w:rsidRPr="003013DE">
              <w:rPr>
                <w:rFonts w:ascii="Times New Roman" w:eastAsia="Times New Roman" w:hAnsi="Times New Roman" w:cs="Times New Roman"/>
                <w:color w:val="auto"/>
                <w:sz w:val="24"/>
                <w:szCs w:val="24"/>
              </w:rPr>
              <w:br/>
              <w:t>Fuente: Journal of Neurology / 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C31422" w14:textId="2896D673" w:rsidR="00007207" w:rsidRPr="003013DE" w:rsidRDefault="00007207"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E84B9F" w14:textId="088F355D" w:rsidR="00007207" w:rsidRPr="003013DE" w:rsidRDefault="00007207"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Association between Antibiotic Exposure and Risk of Parkinson’s Disease: A Cohort Meta-analysi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A9E27D" w14:textId="4146987A" w:rsidR="00007207"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Estudio de cohorte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629313" w14:textId="371256DF" w:rsidR="00007207" w:rsidRPr="003013DE" w:rsidRDefault="00007207"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EB12C8C" w14:textId="5509BD59"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Grandes cohortes poblacionales que evaluaron el uso prolongado o repetido de antibióticos y la incidencia de enfermedad de Parkinson</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06DF3B" w14:textId="09836B00" w:rsidR="00007207" w:rsidRPr="003013DE" w:rsidRDefault="00007207"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Búsqueda sistemática de bases poblacionales; inclusión de estudios de cohorte que reportaron HR/RR de Parkinson tras exposición a antibióticos; metaanálisis combinado con efectos aleatorios; análisis de subgrupos por tipo de antibiótico</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AEDB9C" w14:textId="5FD3C06A" w:rsidR="00007207" w:rsidRPr="003013DE" w:rsidRDefault="00007207"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 exposición repetida a antibióticos se asoció con un riesgo ligeramente elevado de Parkinson en los estudios agrupados, aunque los autores advierten sobre el sesgo de indicación y la necesidad de investigación adicional</w:t>
            </w:r>
          </w:p>
        </w:tc>
      </w:tr>
      <w:tr w:rsidR="003013DE" w:rsidRPr="003013DE" w14:paraId="244B0782"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053401" w14:textId="2DDE4D3C"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Sun Y.,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2023.</w:t>
            </w:r>
            <w:r w:rsidRPr="003013DE">
              <w:rPr>
                <w:rFonts w:ascii="Times New Roman" w:eastAsia="Times New Roman" w:hAnsi="Times New Roman" w:cs="Times New Roman"/>
                <w:color w:val="auto"/>
                <w:sz w:val="24"/>
                <w:szCs w:val="24"/>
              </w:rPr>
              <w:br/>
              <w:t>Fuente: Gastroenterology / PubMe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A9126F" w14:textId="4B3E23E3"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3500C4" w14:textId="13855590"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Inflammatory bowel disease associated with increased risk of Alzheimer’s disease: meta-analysis of cohort studie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6B543D" w14:textId="543B3E32"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Estudio de cohorte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B9DB9" w14:textId="58585759"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2E9BE6" w14:textId="359AA769"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Pacientes con enfermedad inflamatoria intestinal (EII) comparados con población general, seguimiento para diagnóstico de Alzheimer</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1F8A49" w14:textId="2AE80336"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sistemática de cohortes que relacionaban EII con Alzheimer; metaanálisis de HR/RR combinados; análisis de heterogeneidad y subgrupos por severidad de EII</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091A84" w14:textId="0265EAD3"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Los pacientes con EII mostraron un riesgo moderadamente aumentado de Alzheimer en los estudios de cohorte agrupados; los autores sugieren vigilancia cognitiva en estos pacientes</w:t>
            </w:r>
          </w:p>
        </w:tc>
      </w:tr>
      <w:tr w:rsidR="003013DE" w:rsidRPr="003013DE" w14:paraId="61C928DA"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6BB9A0" w14:textId="3C860CF5"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Li H.,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Neurobiology of Aging / PubMe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BD2031" w14:textId="02A20CC5"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88D562" w14:textId="6BE19E46"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Gut Microbiota Signatures Predict Progression from Mild to Moderate/Severe Alzheimer’s Disease: A Meta-analysis of Observational Studie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6F0BC9" w14:textId="79225CD5"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Estudio de cohorte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23E92D" w14:textId="59927783"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B51DF0" w14:textId="3D401276"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Cohortes de pacientes con deterioro cognitivo leve (MCI) o Alzheimer leve seguidos para progresión del deterioro cognitivo; datos de microbiota intestinal al inicio</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4A8209" w14:textId="5430FF3E"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Inclusión de estudios que midieron microbiota intestinal al ingreso y seguimiento para progresión; metaanálisis de hazard ratios/OR para progresión; análisis de heterogeneidad y sensibilidad</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6B8B3B" w14:textId="7D0E79DB"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Ciertas firmas de microbiota intestinal se asociaron con una mayor probabilidad de progresión cognitiva en estudios observacionales; se requieren estudios prospectivos más amplios para validación</w:t>
            </w:r>
          </w:p>
        </w:tc>
      </w:tr>
      <w:tr w:rsidR="003013DE" w:rsidRPr="003013DE" w14:paraId="618943A9"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312BE7" w14:textId="0DF4CE91"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Autores: Garcia-Rodriguez D., et al.</w:t>
            </w:r>
            <w:r w:rsidRPr="003013DE">
              <w:rPr>
                <w:rFonts w:ascii="Times New Roman" w:eastAsia="Times New Roman" w:hAnsi="Times New Roman" w:cs="Times New Roman"/>
                <w:color w:val="auto"/>
                <w:sz w:val="24"/>
                <w:szCs w:val="24"/>
                <w:lang w:val="es-CR"/>
              </w:rPr>
              <w:br/>
              <w:t>Fecha: 2025.</w:t>
            </w:r>
            <w:r w:rsidRPr="003013DE">
              <w:rPr>
                <w:rFonts w:ascii="Times New Roman" w:eastAsia="Times New Roman" w:hAnsi="Times New Roman" w:cs="Times New Roman"/>
                <w:color w:val="auto"/>
                <w:sz w:val="24"/>
                <w:szCs w:val="24"/>
                <w:lang w:val="es-CR"/>
              </w:rPr>
              <w:br/>
              <w:t>Fuente: Alzheimer &amp; Dementia / PubMe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6E2EA8" w14:textId="6323F900"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29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00D8E5" w14:textId="0B787ADA"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Pre-diagnosis gut microbiota and subsequent risk of dementia: pooled meta-analysis of cohort studie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8D9852" w14:textId="788F9DD6"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Estudio de cohorte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A192E13" w14:textId="240CDDA6"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094FCA" w14:textId="1DBDDC5F"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Cohortes longitudinales que colectaron muestras de microbiota intestinal antes del diagnóstico de demencia y siguieron a los participantes para desarrollo de Alzheimer, demencia vascular u otras demencias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46DDC3" w14:textId="4ADDD9F6"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Integración de datos de múltiples cohortes; metaanálisis de HR para incidencia de demencia según perfiles microbiota; análisis de subgrupos por tipo de demencia y región geográfica</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B6528B" w14:textId="112301FF"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Diferencias en la composición microbiota antes del inicio de demencia se asociaron con riesgo elevado de desarrollo de demencia en los estudios analizados; sin embargo, la variabilidad entre cohortes y la falta de estandarización limitan la generalización</w:t>
            </w:r>
          </w:p>
        </w:tc>
      </w:tr>
      <w:tr w:rsidR="003013DE" w:rsidRPr="003013DE" w14:paraId="074F8454"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F587D4" w14:textId="78AFE29D"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Davies S.R.,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2023.</w:t>
            </w:r>
            <w:r w:rsidRPr="003013DE">
              <w:rPr>
                <w:rFonts w:ascii="Times New Roman" w:eastAsia="Times New Roman" w:hAnsi="Times New Roman" w:cs="Times New Roman"/>
                <w:color w:val="auto"/>
                <w:sz w:val="24"/>
                <w:szCs w:val="24"/>
              </w:rPr>
              <w:br/>
              <w:t>Fuente: Journal of Alzheimer’s Disease / 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68BD44" w14:textId="06ADE26D"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3186BC" w14:textId="77170686"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Antibiotic use and long-term cognitive outcomes: a meta-analysis of observational cohort studie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0ABA82" w14:textId="435B6129"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Estudio de cohorte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A1C964" w14:textId="3D55A5C6"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2a</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B7FC0F" w14:textId="1A1A0AF8"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Adultos provenientes de cohortes poblacionales que registraron exposición a antibióticos y seguimiento para deterioro cognitivo o demencia</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4DB986" w14:textId="0525CB8E"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sistemática de cohortes; extracción de HR/RR de deterioro cognitivo/demencia tras uso de antibióticos; metaanálisis combinado; análisis de subgrupos (tipo de antibiótico, duración, edad)</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2F6B7" w14:textId="3B5CCE88"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El uso prolongado o recurrente de antibióticos se asoció con un mayor riesgo de deterioro cognitivo o demencia en los estudios observacionales agrupados; los autores advierten sobre la posible confusión residual.</w:t>
            </w:r>
          </w:p>
        </w:tc>
      </w:tr>
      <w:tr w:rsidR="003013DE" w:rsidRPr="003013DE" w14:paraId="4C4698EC"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9446B0" w14:textId="38390AD8"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C. Chen, et al.</w:t>
            </w:r>
            <w:r w:rsidRPr="003013DE">
              <w:rPr>
                <w:rFonts w:ascii="Times New Roman" w:eastAsia="Times New Roman" w:hAnsi="Times New Roman" w:cs="Times New Roman"/>
                <w:color w:val="auto"/>
                <w:sz w:val="24"/>
                <w:szCs w:val="24"/>
                <w:lang w:val="es-CR"/>
              </w:rPr>
              <w:br/>
              <w:t>Fecha: 2025.</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Fuente: Frontiers / PubMed Centra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687BF2" w14:textId="7E0DBBB2"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A67BA9E" w14:textId="50A40B39"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Microbiota–gut–brain axis in neurodegenerative diseases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6F3914" w14:textId="11A62942"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 xml:space="preserve">Revisión narrativa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EDB3DE" w14:textId="48C8E576"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1A3261" w14:textId="11DBF5A5"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preclínicos y clínicos que investigan la interacción microbiota–intestino–cerebro en enfermedades neurodegenerativas (Alzheimer, Parkinson, esclerosis, etc.)</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0B67D7" w14:textId="0AFD1B04"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narrativa de la literatura reciente (bases electrónicas, artículos preclínicos y clínicos) centrada en mecanismos de comunicación microbiota-cerebro y hallazgos asociados a NDDs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9B6A38" w14:textId="7EA17059"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Se revisan las vías por las que la microbiota puede influir en la neurodegeneración (metabolitos microbianos, inmunomodulación, permeabilidad intestinal y efectos sobre glía) y se describen hallazgos preclínicos y clínicos que apoyan un papel del </w:t>
            </w:r>
            <w:r w:rsidRPr="003013DE">
              <w:rPr>
                <w:rFonts w:ascii="Times New Roman" w:eastAsia="Times New Roman" w:hAnsi="Times New Roman" w:cs="Times New Roman"/>
                <w:color w:val="auto"/>
                <w:sz w:val="24"/>
                <w:szCs w:val="24"/>
                <w:lang w:val="es-CR"/>
              </w:rPr>
              <w:lastRenderedPageBreak/>
              <w:t>microbioma en la etiopatogenia de las enfermedades neurodegenerativas.</w:t>
            </w:r>
          </w:p>
        </w:tc>
      </w:tr>
      <w:tr w:rsidR="003013DE" w:rsidRPr="003013DE" w14:paraId="194735C6"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B8EE70" w14:textId="4EA914EE"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S. Chandra, S.S. Sisodia, R.J. Vassar</w:t>
            </w:r>
            <w:r w:rsidRPr="003013DE">
              <w:rPr>
                <w:rFonts w:ascii="Times New Roman" w:eastAsia="Times New Roman" w:hAnsi="Times New Roman" w:cs="Times New Roman"/>
                <w:color w:val="auto"/>
                <w:sz w:val="24"/>
                <w:szCs w:val="24"/>
                <w:lang w:val="es-CR"/>
              </w:rPr>
              <w:br/>
              <w:t>Fecha: 2023.</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Fuente: Molecular Neurodegeneration (PubMed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9FEB6B" w14:textId="7B2A7A16"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175292" w14:textId="5DA4B76F"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The gut microbiome in Alzheimer's disease: what we know and what remains to be explore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C777B0" w14:textId="0987D31D"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Revisión narrativ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47942C" w14:textId="67E7C09A"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0C31C8" w14:textId="716ECA58"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humanos y experimentales que examinan la relación entre microbiota intestinal y patología/biomarcadores de Alzheimer</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DE784F" w14:textId="018BB94C"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crítica de estudios clínicos, cohortes y trabajos experimentales; síntesis narrativa de evidencias sobre asociaciones microbiota-AD y vías mecanísticas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BA4073" w14:textId="61D53E94"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discuten las evidencias que vinculan la microbiota y metabolitos microbianos con la acumulación de A</w:t>
            </w:r>
            <w:r w:rsidRPr="003013DE">
              <w:rPr>
                <w:rFonts w:ascii="Times New Roman" w:eastAsia="Times New Roman" w:hAnsi="Times New Roman" w:cs="Times New Roman"/>
                <w:color w:val="auto"/>
                <w:sz w:val="24"/>
                <w:szCs w:val="24"/>
              </w:rPr>
              <w:t>β</w:t>
            </w:r>
            <w:r w:rsidRPr="003013DE">
              <w:rPr>
                <w:rFonts w:ascii="Times New Roman" w:eastAsia="Times New Roman" w:hAnsi="Times New Roman" w:cs="Times New Roman"/>
                <w:color w:val="auto"/>
                <w:sz w:val="24"/>
                <w:szCs w:val="24"/>
                <w:lang w:val="es-CR"/>
              </w:rPr>
              <w:t>, la inflamación y la neurodegeneración en Alzheimer, y se identifican lagunas y prioridades para futuras investigaciones</w:t>
            </w:r>
          </w:p>
        </w:tc>
      </w:tr>
      <w:tr w:rsidR="003013DE" w:rsidRPr="003013DE" w14:paraId="32750BBE"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C841BF" w14:textId="50041589"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t>Autores: C. Vilela,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2024.</w:t>
            </w:r>
            <w:r w:rsidRPr="003013DE">
              <w:rPr>
                <w:rFonts w:ascii="Times New Roman" w:eastAsia="Times New Roman" w:hAnsi="Times New Roman" w:cs="Times New Roman"/>
                <w:color w:val="auto"/>
                <w:sz w:val="24"/>
                <w:szCs w:val="24"/>
              </w:rPr>
              <w:br/>
              <w:t>Fuente: Cells / MDPI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8F38B0" w14:textId="6E04E054"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7EC554" w14:textId="2005DF21"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From the Gut to the Brain: Is Microbiota a New Paradigm in Neurodegeneration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64F811" w14:textId="1CEAA30A"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Revisión narrativ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8D61C4" w14:textId="027C4720"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EC81E2" w14:textId="2405D001"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experimentales y clínicos sobre microbiota intestinal y enfermedades neurodegenerativas (Parkinson, Alzheimer, etc.)</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3F814F" w14:textId="5BE496E8"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de literatura científica hasta la fecha, con énfasis en evidencia mecanística y terapéutica emergente; síntesis cualitativa</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50951B" w14:textId="4ACBAC1E"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 xml:space="preserve">Se resumen evidencias de disbiosis asociada a NDDs, mecanismos potenciales (metabolitos, barrera intestinal, inmunidad) y se revisan enfoques terapéuticos </w:t>
            </w:r>
            <w:r w:rsidRPr="003013DE">
              <w:rPr>
                <w:rFonts w:ascii="Times New Roman" w:eastAsia="Times New Roman" w:hAnsi="Times New Roman" w:cs="Times New Roman"/>
                <w:color w:val="auto"/>
                <w:sz w:val="24"/>
                <w:szCs w:val="24"/>
                <w:lang w:val="es-CR"/>
              </w:rPr>
              <w:lastRenderedPageBreak/>
              <w:t>basados en microbiota</w:t>
            </w:r>
          </w:p>
        </w:tc>
      </w:tr>
      <w:tr w:rsidR="003013DE" w:rsidRPr="003013DE" w14:paraId="0F397423"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50572F" w14:textId="637E893A"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lang w:val="es-CR"/>
              </w:rPr>
              <w:lastRenderedPageBreak/>
              <w:t>Autores: J. Sun, et al.</w:t>
            </w:r>
            <w:r w:rsidRPr="003013DE">
              <w:rPr>
                <w:rFonts w:ascii="Times New Roman" w:eastAsia="Times New Roman" w:hAnsi="Times New Roman" w:cs="Times New Roman"/>
                <w:color w:val="auto"/>
                <w:sz w:val="24"/>
                <w:szCs w:val="24"/>
                <w:lang w:val="es-CR"/>
              </w:rPr>
              <w:br/>
            </w:r>
            <w:r w:rsidRPr="003013DE">
              <w:rPr>
                <w:rFonts w:ascii="Times New Roman" w:eastAsia="Times New Roman" w:hAnsi="Times New Roman" w:cs="Times New Roman"/>
                <w:color w:val="auto"/>
                <w:sz w:val="24"/>
                <w:szCs w:val="24"/>
              </w:rPr>
              <w:t>Fecha: 2021.</w:t>
            </w:r>
            <w:r w:rsidRPr="003013DE">
              <w:rPr>
                <w:rFonts w:ascii="Times New Roman" w:eastAsia="Times New Roman" w:hAnsi="Times New Roman" w:cs="Times New Roman"/>
                <w:color w:val="auto"/>
                <w:sz w:val="24"/>
                <w:szCs w:val="24"/>
              </w:rPr>
              <w:br/>
              <w:t>Fuente: Neurotherapeutics / PubMed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2D73C6" w14:textId="577F09F5"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BF5AA1" w14:textId="0F11117B"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eastAsia="Times New Roman" w:hAnsi="Times New Roman" w:cs="Times New Roman"/>
                <w:color w:val="auto"/>
                <w:sz w:val="24"/>
                <w:szCs w:val="24"/>
              </w:rPr>
              <w:t>Gut microbiome and amyotrophic lateral sclerosis: a systematic review (narrative synthesis of clinical and preclinical evidence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204BB50" w14:textId="065B4B16"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Revisión narrativa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2CA52" w14:textId="7D6DFDA1"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6898F6" w14:textId="541FF8F2"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experimentales en modelos de ELA y series clínicas humanas que examinan el microbioma intestinal en ELA</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C0E1CB" w14:textId="5016FD2A"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sistemática de estudios preclínicos y clínicos; síntesis narrativa de resultados y limitaciones metodológicas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A30D13" w14:textId="076E3A32"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La evidencia experimental muestra alteraciones de la microbiota en modelos de ELA; los datos en humanos son heterogéneos e insuficientes para conclusiones definitivas</w:t>
            </w:r>
          </w:p>
        </w:tc>
      </w:tr>
      <w:tr w:rsidR="003013DE" w:rsidRPr="003013DE" w14:paraId="22F435C6"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291B36" w14:textId="283EB626"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Autores: R.E. Asalde Ramos, et al.</w:t>
            </w:r>
            <w:r w:rsidRPr="003013DE">
              <w:rPr>
                <w:rFonts w:ascii="Times New Roman" w:eastAsia="Times New Roman" w:hAnsi="Times New Roman" w:cs="Times New Roman"/>
                <w:color w:val="auto"/>
                <w:sz w:val="24"/>
                <w:szCs w:val="24"/>
                <w:lang w:val="es-CR"/>
              </w:rPr>
              <w:br/>
              <w:t>Fecha: 2024.</w:t>
            </w:r>
            <w:r w:rsidRPr="003013DE">
              <w:rPr>
                <w:rFonts w:ascii="Times New Roman" w:eastAsia="Times New Roman" w:hAnsi="Times New Roman" w:cs="Times New Roman"/>
                <w:color w:val="auto"/>
                <w:sz w:val="24"/>
                <w:szCs w:val="24"/>
                <w:lang w:val="es-CR"/>
              </w:rPr>
              <w:br/>
              <w:t>Fuente: Revista Argentina de Neurociencias / SciEL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05BED0" w14:textId="0F443F5A"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75DD06" w14:textId="6737B10F"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El eje microbiota-intestino-cerebro en la enfermedad de Parkinson: revisió</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ACF025" w14:textId="6AF64FAB"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Revisión narrativa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85816D" w14:textId="6ACDF0F6"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C2FF1A" w14:textId="5C0E3E0A"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clínicos y experimentales sobre microbiota intestinal y enfermedad de Parkinson en la literatura internacional y regional</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C14D60" w14:textId="3C5D25D5"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sistemática de artículos indexados en Scopus/PubMed de los últimos cinco años; síntesis narrativa en idioma español</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C26047" w14:textId="2C3B1724"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describen las vías de interacción microbiota-cerebro relevantes para Parkinson, hallazgos de disbiosis en pacientes y evidencia preclínica que apoya una contribución de la microbiota a la fisiopatología.</w:t>
            </w:r>
          </w:p>
        </w:tc>
      </w:tr>
      <w:tr w:rsidR="003013DE" w:rsidRPr="003013DE" w14:paraId="11FFB9C1"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BFA654" w14:textId="6736CAA0"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lastRenderedPageBreak/>
              <w:t>Autores: G.E.F. Díaz, et al.</w:t>
            </w:r>
            <w:r w:rsidRPr="003013DE">
              <w:rPr>
                <w:rFonts w:ascii="Times New Roman" w:eastAsia="Times New Roman" w:hAnsi="Times New Roman" w:cs="Times New Roman"/>
                <w:color w:val="auto"/>
                <w:sz w:val="24"/>
                <w:szCs w:val="24"/>
                <w:lang w:val="es-CR"/>
              </w:rPr>
              <w:br/>
              <w:t>Fecha: 2023.</w:t>
            </w:r>
            <w:r w:rsidRPr="003013DE">
              <w:rPr>
                <w:rFonts w:ascii="Times New Roman" w:eastAsia="Times New Roman" w:hAnsi="Times New Roman" w:cs="Times New Roman"/>
                <w:color w:val="auto"/>
                <w:sz w:val="24"/>
                <w:szCs w:val="24"/>
                <w:lang w:val="es-CR"/>
              </w:rPr>
              <w:br/>
              <w:t>Fuente: Revista Coclé Médica / SciELO Cub</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5C9D3D" w14:textId="3A6FC6E2" w:rsidR="009E6341" w:rsidRPr="003013DE" w:rsidRDefault="009E6341" w:rsidP="0030351C">
            <w:pPr>
              <w:pStyle w:val="Descripcin"/>
              <w:widowControl w:val="0"/>
              <w:rPr>
                <w:rFonts w:ascii="Times New Roman" w:hAnsi="Times New Roman" w:cs="Times New Roman"/>
                <w:color w:val="auto"/>
                <w:sz w:val="24"/>
                <w:szCs w:val="24"/>
              </w:rPr>
            </w:pPr>
            <w:r w:rsidRPr="003013DE">
              <w:rPr>
                <w:rFonts w:ascii="Times New Roman" w:hAnsi="Times New Roman" w:cs="Times New Roman"/>
                <w:color w:val="auto"/>
                <w:sz w:val="24"/>
                <w:szCs w:val="24"/>
              </w:rPr>
              <w:t>36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808F3E4" w14:textId="181CFC15"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Disbiosis intestinal en la enfermedad de Alzheime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815DA6" w14:textId="0131B4EB" w:rsidR="009E6341" w:rsidRPr="003013DE" w:rsidRDefault="009E6341" w:rsidP="0030351C">
            <w:pPr>
              <w:pStyle w:val="Descripcin"/>
              <w:widowControl w:val="0"/>
              <w:jc w:val="both"/>
              <w:rPr>
                <w:rFonts w:ascii="Times New Roman" w:hAnsi="Times New Roman" w:cs="Times New Roman"/>
                <w:color w:val="auto"/>
                <w:sz w:val="24"/>
                <w:szCs w:val="24"/>
              </w:rPr>
            </w:pPr>
            <w:r w:rsidRPr="003013DE">
              <w:rPr>
                <w:rFonts w:ascii="Times New Roman" w:hAnsi="Times New Roman" w:cs="Times New Roman"/>
                <w:color w:val="auto"/>
                <w:sz w:val="24"/>
                <w:szCs w:val="24"/>
              </w:rPr>
              <w:t>Revisión narrativa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F291C0" w14:textId="73C42E77" w:rsidR="009E6341" w:rsidRPr="003013DE" w:rsidRDefault="009E6341" w:rsidP="0030351C">
            <w:pPr>
              <w:pStyle w:val="Descripcin"/>
              <w:widowControl w:val="0"/>
              <w:jc w:val="center"/>
              <w:rPr>
                <w:rFonts w:ascii="Times New Roman" w:hAnsi="Times New Roman" w:cs="Times New Roman"/>
                <w:color w:val="auto"/>
                <w:sz w:val="24"/>
                <w:szCs w:val="24"/>
              </w:rPr>
            </w:pPr>
            <w:r w:rsidRPr="003013DE">
              <w:rPr>
                <w:rFonts w:ascii="Times New Roman" w:hAnsi="Times New Roman" w:cs="Times New Roman"/>
                <w:color w:val="auto"/>
                <w:sz w:val="24"/>
                <w:szCs w:val="24"/>
              </w:rPr>
              <w:t>2b</w:t>
            </w: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CE7AE6" w14:textId="024C6142"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Estudios clínicos y experimentales sobre microbiota intestinal y enfermedad de Alzheimer, con foco en poblaciones hispanohablantes cuando están disponibles</w:t>
            </w: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4D7EAD" w14:textId="0B4F08A1" w:rsidR="009E6341" w:rsidRPr="003013DE" w:rsidRDefault="009E6341" w:rsidP="0030351C">
            <w:pPr>
              <w:pStyle w:val="Descripcin"/>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Revisión bibliográfica descriptiva de la literatura científica sobre disbiosis y Alzheimer; compilación de mecanismos propuestos y resultados reportados</w:t>
            </w: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01AABC" w14:textId="2237CFD9" w:rsidR="009E6341" w:rsidRPr="003013DE" w:rsidRDefault="009E6341" w:rsidP="0030351C">
            <w:pPr>
              <w:pStyle w:val="Descripcin"/>
              <w:widowControl w:val="0"/>
              <w:jc w:val="both"/>
              <w:rPr>
                <w:rFonts w:ascii="Times New Roman" w:hAnsi="Times New Roman" w:cs="Times New Roman"/>
                <w:color w:val="auto"/>
                <w:sz w:val="24"/>
                <w:szCs w:val="24"/>
                <w:lang w:val="es-CR"/>
              </w:rPr>
            </w:pPr>
            <w:r w:rsidRPr="003013DE">
              <w:rPr>
                <w:rFonts w:ascii="Times New Roman" w:eastAsia="Times New Roman" w:hAnsi="Times New Roman" w:cs="Times New Roman"/>
                <w:color w:val="auto"/>
                <w:sz w:val="24"/>
                <w:szCs w:val="24"/>
                <w:lang w:val="es-CR"/>
              </w:rPr>
              <w:t>Se recopilan evidencias que señalan la alteración de la microbiota intestinal en Alzheimer y se discuten posibles mecanismos (inflamación sistémica, metabólitos microbianos, permeabilidad intestinal) relacionados con la enfermedad.</w:t>
            </w:r>
          </w:p>
        </w:tc>
      </w:tr>
      <w:tr w:rsidR="003013DE" w:rsidRPr="003013DE" w14:paraId="5F05E460"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85D138"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B81C59" w14:textId="77777777" w:rsidR="009E6341" w:rsidRPr="003013DE" w:rsidRDefault="009E6341" w:rsidP="0030351C">
            <w:pPr>
              <w:pStyle w:val="Descripcin"/>
              <w:widowControl w:val="0"/>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24555B"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EB416D"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39C35E" w14:textId="77777777" w:rsidR="009E6341" w:rsidRPr="003013DE" w:rsidRDefault="009E6341" w:rsidP="0030351C">
            <w:pPr>
              <w:pStyle w:val="Descripcin"/>
              <w:widowControl w:val="0"/>
              <w:jc w:val="center"/>
              <w:rPr>
                <w:rFonts w:ascii="Times New Roman" w:hAnsi="Times New Roman" w:cs="Times New Roman"/>
                <w:color w:val="auto"/>
                <w:sz w:val="24"/>
                <w:szCs w:val="24"/>
                <w:lang w:val="es-CR"/>
              </w:rPr>
            </w:pP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08E602" w14:textId="77777777" w:rsidR="009E6341" w:rsidRPr="003013DE" w:rsidRDefault="009E6341" w:rsidP="0030351C">
            <w:pPr>
              <w:pStyle w:val="Descripcin"/>
              <w:jc w:val="both"/>
              <w:rPr>
                <w:rFonts w:ascii="Times New Roman" w:hAnsi="Times New Roman" w:cs="Times New Roman"/>
                <w:color w:val="auto"/>
                <w:sz w:val="24"/>
                <w:szCs w:val="24"/>
                <w:lang w:val="es-CR"/>
              </w:rPr>
            </w:pP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6CB41E" w14:textId="77777777" w:rsidR="009E6341" w:rsidRPr="003013DE" w:rsidRDefault="009E6341" w:rsidP="0030351C">
            <w:pPr>
              <w:pStyle w:val="Descripcin"/>
              <w:jc w:val="both"/>
              <w:rPr>
                <w:rFonts w:ascii="Times New Roman" w:hAnsi="Times New Roman" w:cs="Times New Roman"/>
                <w:color w:val="auto"/>
                <w:sz w:val="24"/>
                <w:szCs w:val="24"/>
                <w:lang w:val="es-CR"/>
              </w:rPr>
            </w:pP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46B120"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r>
      <w:tr w:rsidR="003013DE" w:rsidRPr="003013DE" w14:paraId="16607377" w14:textId="77777777" w:rsidTr="00007207">
        <w:trPr>
          <w:trHeight w:val="8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172938"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9503DE" w14:textId="77777777" w:rsidR="009E6341" w:rsidRPr="003013DE" w:rsidRDefault="009E6341" w:rsidP="0030351C">
            <w:pPr>
              <w:pStyle w:val="Descripcin"/>
              <w:widowControl w:val="0"/>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C209CE"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FF0722"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EC18F2D" w14:textId="77777777" w:rsidR="009E6341" w:rsidRPr="003013DE" w:rsidRDefault="009E6341" w:rsidP="0030351C">
            <w:pPr>
              <w:pStyle w:val="Descripcin"/>
              <w:widowControl w:val="0"/>
              <w:jc w:val="center"/>
              <w:rPr>
                <w:rFonts w:ascii="Times New Roman" w:hAnsi="Times New Roman" w:cs="Times New Roman"/>
                <w:color w:val="auto"/>
                <w:sz w:val="24"/>
                <w:szCs w:val="24"/>
                <w:lang w:val="es-CR"/>
              </w:rPr>
            </w:pPr>
          </w:p>
        </w:tc>
        <w:tc>
          <w:tcPr>
            <w:tcW w:w="279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9E7383" w14:textId="77777777" w:rsidR="009E6341" w:rsidRPr="003013DE" w:rsidRDefault="009E6341" w:rsidP="0030351C">
            <w:pPr>
              <w:pStyle w:val="Descripcin"/>
              <w:jc w:val="both"/>
              <w:rPr>
                <w:rFonts w:ascii="Times New Roman" w:hAnsi="Times New Roman" w:cs="Times New Roman"/>
                <w:color w:val="auto"/>
                <w:sz w:val="24"/>
                <w:szCs w:val="24"/>
                <w:lang w:val="es-CR"/>
              </w:rPr>
            </w:pPr>
          </w:p>
        </w:tc>
        <w:tc>
          <w:tcPr>
            <w:tcW w:w="27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C22AFB" w14:textId="77777777" w:rsidR="009E6341" w:rsidRPr="003013DE" w:rsidRDefault="009E6341" w:rsidP="0030351C">
            <w:pPr>
              <w:pStyle w:val="Descripcin"/>
              <w:jc w:val="both"/>
              <w:rPr>
                <w:rFonts w:ascii="Times New Roman" w:hAnsi="Times New Roman" w:cs="Times New Roman"/>
                <w:color w:val="auto"/>
                <w:sz w:val="24"/>
                <w:szCs w:val="24"/>
                <w:lang w:val="es-CR"/>
              </w:rPr>
            </w:pPr>
          </w:p>
        </w:tc>
        <w:tc>
          <w:tcPr>
            <w:tcW w:w="26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F7901D" w14:textId="77777777" w:rsidR="009E6341" w:rsidRPr="003013DE" w:rsidRDefault="009E6341" w:rsidP="0030351C">
            <w:pPr>
              <w:pStyle w:val="Descripcin"/>
              <w:widowControl w:val="0"/>
              <w:jc w:val="both"/>
              <w:rPr>
                <w:rFonts w:ascii="Times New Roman" w:hAnsi="Times New Roman" w:cs="Times New Roman"/>
                <w:color w:val="auto"/>
                <w:sz w:val="24"/>
                <w:szCs w:val="24"/>
                <w:lang w:val="es-CR"/>
              </w:rPr>
            </w:pPr>
          </w:p>
        </w:tc>
      </w:tr>
    </w:tbl>
    <w:p w14:paraId="57D3A48B" w14:textId="77777777" w:rsidR="00F51BC8" w:rsidRPr="003013DE" w:rsidRDefault="00F51BC8" w:rsidP="007B051C">
      <w:pPr>
        <w:spacing w:line="360" w:lineRule="auto"/>
        <w:jc w:val="both"/>
        <w:rPr>
          <w:rFonts w:ascii="Times New Roman" w:hAnsi="Times New Roman" w:cs="Times New Roman"/>
          <w:sz w:val="28"/>
          <w:szCs w:val="28"/>
          <w:lang w:val="es-ES"/>
        </w:rPr>
      </w:pPr>
    </w:p>
    <w:p w14:paraId="7F075B65" w14:textId="77777777" w:rsidR="00F51BC8" w:rsidRPr="003013DE" w:rsidRDefault="00F51BC8" w:rsidP="007B051C">
      <w:pPr>
        <w:spacing w:line="360" w:lineRule="auto"/>
        <w:jc w:val="both"/>
        <w:rPr>
          <w:rFonts w:ascii="Times New Roman" w:hAnsi="Times New Roman" w:cs="Times New Roman"/>
          <w:sz w:val="28"/>
          <w:szCs w:val="28"/>
          <w:lang w:val="es-ES"/>
        </w:rPr>
      </w:pPr>
    </w:p>
    <w:p w14:paraId="38FB7A0B" w14:textId="77777777" w:rsidR="0019303D" w:rsidRPr="003013DE" w:rsidRDefault="0019303D" w:rsidP="007B051C">
      <w:pPr>
        <w:spacing w:line="360" w:lineRule="auto"/>
        <w:jc w:val="both"/>
        <w:rPr>
          <w:rFonts w:ascii="Times New Roman" w:hAnsi="Times New Roman" w:cs="Times New Roman"/>
          <w:sz w:val="28"/>
          <w:szCs w:val="28"/>
          <w:lang w:val="es-ES"/>
        </w:rPr>
      </w:pPr>
    </w:p>
    <w:p w14:paraId="7FD332D0" w14:textId="77777777" w:rsidR="0019303D" w:rsidRPr="003013DE" w:rsidRDefault="0019303D" w:rsidP="007B051C">
      <w:pPr>
        <w:spacing w:line="360" w:lineRule="auto"/>
        <w:jc w:val="both"/>
        <w:rPr>
          <w:rFonts w:ascii="Times New Roman" w:hAnsi="Times New Roman" w:cs="Times New Roman"/>
          <w:sz w:val="28"/>
          <w:szCs w:val="28"/>
          <w:lang w:val="es-ES"/>
        </w:rPr>
      </w:pPr>
    </w:p>
    <w:p w14:paraId="1CD02EEC" w14:textId="77777777" w:rsidR="0019303D" w:rsidRPr="003013DE" w:rsidRDefault="0019303D" w:rsidP="007B051C">
      <w:pPr>
        <w:spacing w:line="360" w:lineRule="auto"/>
        <w:jc w:val="both"/>
        <w:rPr>
          <w:rFonts w:ascii="Times New Roman" w:hAnsi="Times New Roman" w:cs="Times New Roman"/>
          <w:sz w:val="28"/>
          <w:szCs w:val="28"/>
          <w:lang w:val="es-ES"/>
        </w:rPr>
      </w:pPr>
    </w:p>
    <w:p w14:paraId="42D144E6" w14:textId="77777777" w:rsidR="0019303D" w:rsidRPr="003013DE" w:rsidRDefault="0019303D" w:rsidP="007B051C">
      <w:pPr>
        <w:spacing w:line="360" w:lineRule="auto"/>
        <w:jc w:val="both"/>
        <w:rPr>
          <w:rFonts w:ascii="Times New Roman" w:hAnsi="Times New Roman" w:cs="Times New Roman"/>
          <w:sz w:val="28"/>
          <w:szCs w:val="28"/>
          <w:lang w:val="es-ES"/>
        </w:rPr>
      </w:pPr>
    </w:p>
    <w:p w14:paraId="340577A8" w14:textId="77777777" w:rsidR="0019303D" w:rsidRPr="003013DE" w:rsidRDefault="0019303D" w:rsidP="007B051C">
      <w:pPr>
        <w:spacing w:line="360" w:lineRule="auto"/>
        <w:jc w:val="both"/>
        <w:rPr>
          <w:rFonts w:ascii="Times New Roman" w:hAnsi="Times New Roman" w:cs="Times New Roman"/>
          <w:sz w:val="28"/>
          <w:szCs w:val="28"/>
          <w:lang w:val="es-ES"/>
        </w:rPr>
      </w:pPr>
    </w:p>
    <w:sectPr w:rsidR="0019303D" w:rsidRPr="003013DE" w:rsidSect="00B61F4E">
      <w:pgSz w:w="15840" w:h="12240" w:orient="landscape"/>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32B85C" w14:textId="77777777" w:rsidR="00F902C8" w:rsidRDefault="00F902C8" w:rsidP="009357B8">
      <w:pPr>
        <w:spacing w:after="0" w:line="240" w:lineRule="auto"/>
      </w:pPr>
      <w:r>
        <w:separator/>
      </w:r>
    </w:p>
  </w:endnote>
  <w:endnote w:type="continuationSeparator" w:id="0">
    <w:p w14:paraId="615B0B95" w14:textId="77777777" w:rsidR="00F902C8" w:rsidRDefault="00F902C8" w:rsidP="009357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BB0BDE" w14:textId="77777777" w:rsidR="00F902C8" w:rsidRDefault="00F902C8" w:rsidP="009357B8">
      <w:pPr>
        <w:spacing w:after="0" w:line="240" w:lineRule="auto"/>
      </w:pPr>
      <w:r>
        <w:separator/>
      </w:r>
    </w:p>
  </w:footnote>
  <w:footnote w:type="continuationSeparator" w:id="0">
    <w:p w14:paraId="01773FC5" w14:textId="77777777" w:rsidR="00F902C8" w:rsidRDefault="00F902C8" w:rsidP="009357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4897058"/>
      <w:docPartObj>
        <w:docPartGallery w:val="Page Numbers (Top of Page)"/>
        <w:docPartUnique/>
      </w:docPartObj>
    </w:sdtPr>
    <w:sdtEndPr/>
    <w:sdtContent>
      <w:p w14:paraId="18E23199" w14:textId="599D50BF" w:rsidR="003406E6" w:rsidRDefault="003406E6">
        <w:pPr>
          <w:pStyle w:val="TDC3"/>
          <w:jc w:val="right"/>
        </w:pPr>
        <w:r>
          <w:fldChar w:fldCharType="begin"/>
        </w:r>
        <w:r>
          <w:instrText>PAGE   \* MERGEFORMAT</w:instrText>
        </w:r>
        <w:r>
          <w:fldChar w:fldCharType="separate"/>
        </w:r>
        <w:r>
          <w:rPr>
            <w:lang w:val="es-ES"/>
          </w:rPr>
          <w:t>2</w:t>
        </w:r>
        <w:r>
          <w:fldChar w:fldCharType="end"/>
        </w:r>
      </w:p>
    </w:sdtContent>
  </w:sdt>
  <w:p w14:paraId="6DC6D84B" w14:textId="77777777" w:rsidR="003406E6" w:rsidRDefault="003406E6">
    <w:pPr>
      <w:pStyle w:val="TDC3"/>
    </w:pPr>
  </w:p>
</w:hdr>
</file>

<file path=word/intelligence2.xml><?xml version="1.0" encoding="utf-8"?>
<int2:intelligence xmlns:int2="http://schemas.microsoft.com/office/intelligence/2020/intelligence" xmlns:oel="http://schemas.microsoft.com/office/2019/extlst">
  <int2:observations>
    <int2:bookmark int2:bookmarkName="_Int_Zke8AK0a" int2:invalidationBookmarkName="" int2:hashCode="KnrpHcehcKJZ7T" int2:id="UoNaKZTa">
      <int2:state int2:value="Rejected" int2:type="gram"/>
    </int2:bookmark>
    <int2:bookmark int2:bookmarkName="_Int_UghxQq1l" int2:invalidationBookmarkName="" int2:hashCode="4fLhYPu4SJp/Na" int2:id="rHvn3Spw">
      <int2:state int2:value="Rejected" int2:type="gram"/>
    </int2:bookmark>
    <int2:bookmark int2:bookmarkName="_Int_gyQY3Vnn" int2:invalidationBookmarkName="" int2:hashCode="KnrpHcehcKJZ7T" int2:id="GjUHqE1U">
      <int2:state int2:value="Rejected" int2:type="gram"/>
    </int2:bookmark>
    <int2:bookmark int2:bookmarkName="_Int_pP19MSBb" int2:invalidationBookmarkName="" int2:hashCode="0DlR/PkevkYUTn" int2:id="poTZTqbC">
      <int2:state int2:value="Rejected" int2:type="gram"/>
    </int2:bookmark>
    <int2:bookmark int2:bookmarkName="_Int_p6G344ev" int2:invalidationBookmarkName="" int2:hashCode="ghjt5XrMzW6t93" int2:id="uI4s6kBM">
      <int2:state int2:value="Rejected" int2:type="gram"/>
    </int2:bookmark>
    <int2:bookmark int2:bookmarkName="_Int_yNFzHifE" int2:invalidationBookmarkName="" int2:hashCode="KnrpHcehcKJZ7T" int2:id="Tvn5Dxj5">
      <int2:state int2:value="Rejected" int2:type="gram"/>
    </int2:bookmark>
    <int2:bookmark int2:bookmarkName="_Int_Qu0cELry" int2:invalidationBookmarkName="" int2:hashCode="glhqt8Ox60/R8X" int2:id="HDd4jlqK">
      <int2:state int2:value="Rejected" int2:type="gram"/>
    </int2:bookmark>
    <int2:bookmark int2:bookmarkName="_Int_0vCqVV8i" int2:invalidationBookmarkName="" int2:hashCode="kHq+g/uf4h4WrX" int2:id="BJuCfVbv">
      <int2:state int2:value="Rejected" int2:type="gram"/>
    </int2:bookmark>
    <int2:bookmark int2:bookmarkName="_Int_rx2Ot0UN" int2:invalidationBookmarkName="" int2:hashCode="ghjt5XrMzW6t93" int2:id="kuMQmjvG">
      <int2:state int2:value="Rejected" int2:type="gram"/>
    </int2:bookmark>
    <int2:bookmark int2:bookmarkName="_Int_Zomrlk3O" int2:invalidationBookmarkName="" int2:hashCode="ghjt5XrMzW6t93" int2:id="buCA8q6I">
      <int2:state int2:value="Rejected" int2:type="gram"/>
    </int2:bookmark>
    <int2:bookmark int2:bookmarkName="_Int_4fxOv279" int2:invalidationBookmarkName="" int2:hashCode="KnrpHcehcKJZ7T" int2:id="iSVSX6ck">
      <int2:state int2:value="Rejected" int2:type="gram"/>
    </int2:bookmark>
    <int2:bookmark int2:bookmarkName="_Int_9cJGcQiy" int2:invalidationBookmarkName="" int2:hashCode="kHq+g/uf4h4WrX" int2:id="o5JaTPgw">
      <int2:state int2:value="Rejected" int2:type="gram"/>
    </int2:bookmark>
    <int2:bookmark int2:bookmarkName="_Int_4RsvmRtE" int2:invalidationBookmarkName="" int2:hashCode="glhqt8Ox60/R8X" int2:id="azOqIDBF">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F33E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16584A"/>
    <w:multiLevelType w:val="multilevel"/>
    <w:tmpl w:val="FFFFFFFF"/>
    <w:lvl w:ilvl="0">
      <w:start w:val="1"/>
      <w:numFmt w:val="decimal"/>
      <w:lvlText w:val="%1"/>
      <w:lvlJc w:val="left"/>
      <w:pPr>
        <w:ind w:left="360" w:hanging="360"/>
      </w:pPr>
      <w:rPr>
        <w:rFonts w:hint="default"/>
        <w:color w:val="000000" w:themeColor="text1"/>
      </w:rPr>
    </w:lvl>
    <w:lvl w:ilvl="1">
      <w:start w:val="1"/>
      <w:numFmt w:val="decimal"/>
      <w:lvlText w:val="%1.%2"/>
      <w:lvlJc w:val="left"/>
      <w:pPr>
        <w:ind w:left="360" w:hanging="36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720" w:hanging="72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080" w:hanging="108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440" w:hanging="1440"/>
      </w:pPr>
      <w:rPr>
        <w:rFonts w:hint="default"/>
        <w:color w:val="000000" w:themeColor="text1"/>
      </w:rPr>
    </w:lvl>
    <w:lvl w:ilvl="8">
      <w:start w:val="1"/>
      <w:numFmt w:val="decimal"/>
      <w:lvlText w:val="%1.%2.%3.%4.%5.%6.%7.%8.%9"/>
      <w:lvlJc w:val="left"/>
      <w:pPr>
        <w:ind w:left="1440" w:hanging="1440"/>
      </w:pPr>
      <w:rPr>
        <w:rFonts w:hint="default"/>
        <w:color w:val="000000" w:themeColor="text1"/>
      </w:rPr>
    </w:lvl>
  </w:abstractNum>
  <w:abstractNum w:abstractNumId="2" w15:restartNumberingAfterBreak="0">
    <w:nsid w:val="011E0E96"/>
    <w:multiLevelType w:val="hybridMultilevel"/>
    <w:tmpl w:val="6D7EDF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33C3CA3"/>
    <w:multiLevelType w:val="multilevel"/>
    <w:tmpl w:val="FFFFFFFF"/>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574E13"/>
    <w:multiLevelType w:val="multilevel"/>
    <w:tmpl w:val="FFFFFFFF"/>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A902F7"/>
    <w:multiLevelType w:val="hybridMultilevel"/>
    <w:tmpl w:val="5DD884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56118A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9F657E"/>
    <w:multiLevelType w:val="multilevel"/>
    <w:tmpl w:val="FFFFFFFF"/>
    <w:lvl w:ilvl="0">
      <w:start w:val="4"/>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8" w15:restartNumberingAfterBreak="0">
    <w:nsid w:val="05A422C8"/>
    <w:multiLevelType w:val="multilevel"/>
    <w:tmpl w:val="FFFFFFFF"/>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6BF05AF"/>
    <w:multiLevelType w:val="multilevel"/>
    <w:tmpl w:val="FFFFFFFF"/>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962D0B"/>
    <w:multiLevelType w:val="hybridMultilevel"/>
    <w:tmpl w:val="676AC5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08FE3278"/>
    <w:multiLevelType w:val="multilevel"/>
    <w:tmpl w:val="C55A84B4"/>
    <w:lvl w:ilvl="0">
      <w:start w:val="1"/>
      <w:numFmt w:val="decimal"/>
      <w:lvlText w:val="%1"/>
      <w:lvlJc w:val="left"/>
      <w:pPr>
        <w:ind w:left="467" w:hanging="360"/>
      </w:pPr>
      <w:rPr>
        <w:rFonts w:hint="default"/>
        <w:lang w:val="es-ES" w:eastAsia="en-US" w:bidi="ar-SA"/>
      </w:rPr>
    </w:lvl>
    <w:lvl w:ilvl="1">
      <w:start w:val="3"/>
      <w:numFmt w:val="decimal"/>
      <w:lvlText w:val="%1.%2"/>
      <w:lvlJc w:val="left"/>
      <w:pPr>
        <w:ind w:left="467"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007"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2531" w:hanging="540"/>
      </w:pPr>
      <w:rPr>
        <w:rFonts w:hint="default"/>
        <w:lang w:val="es-ES" w:eastAsia="en-US" w:bidi="ar-SA"/>
      </w:rPr>
    </w:lvl>
    <w:lvl w:ilvl="4">
      <w:numFmt w:val="bullet"/>
      <w:lvlText w:val="•"/>
      <w:lvlJc w:val="left"/>
      <w:pPr>
        <w:ind w:left="3296" w:hanging="540"/>
      </w:pPr>
      <w:rPr>
        <w:rFonts w:hint="default"/>
        <w:lang w:val="es-ES" w:eastAsia="en-US" w:bidi="ar-SA"/>
      </w:rPr>
    </w:lvl>
    <w:lvl w:ilvl="5">
      <w:numFmt w:val="bullet"/>
      <w:lvlText w:val="•"/>
      <w:lvlJc w:val="left"/>
      <w:pPr>
        <w:ind w:left="4062" w:hanging="540"/>
      </w:pPr>
      <w:rPr>
        <w:rFonts w:hint="default"/>
        <w:lang w:val="es-ES" w:eastAsia="en-US" w:bidi="ar-SA"/>
      </w:rPr>
    </w:lvl>
    <w:lvl w:ilvl="6">
      <w:numFmt w:val="bullet"/>
      <w:lvlText w:val="•"/>
      <w:lvlJc w:val="left"/>
      <w:pPr>
        <w:ind w:left="4827" w:hanging="540"/>
      </w:pPr>
      <w:rPr>
        <w:rFonts w:hint="default"/>
        <w:lang w:val="es-ES" w:eastAsia="en-US" w:bidi="ar-SA"/>
      </w:rPr>
    </w:lvl>
    <w:lvl w:ilvl="7">
      <w:numFmt w:val="bullet"/>
      <w:lvlText w:val="•"/>
      <w:lvlJc w:val="left"/>
      <w:pPr>
        <w:ind w:left="5593" w:hanging="540"/>
      </w:pPr>
      <w:rPr>
        <w:rFonts w:hint="default"/>
        <w:lang w:val="es-ES" w:eastAsia="en-US" w:bidi="ar-SA"/>
      </w:rPr>
    </w:lvl>
    <w:lvl w:ilvl="8">
      <w:numFmt w:val="bullet"/>
      <w:lvlText w:val="•"/>
      <w:lvlJc w:val="left"/>
      <w:pPr>
        <w:ind w:left="6358" w:hanging="540"/>
      </w:pPr>
      <w:rPr>
        <w:rFonts w:hint="default"/>
        <w:lang w:val="es-ES" w:eastAsia="en-US" w:bidi="ar-SA"/>
      </w:rPr>
    </w:lvl>
  </w:abstractNum>
  <w:abstractNum w:abstractNumId="12" w15:restartNumberingAfterBreak="0">
    <w:nsid w:val="0C43067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F5E4ECE"/>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0606C90"/>
    <w:multiLevelType w:val="multilevel"/>
    <w:tmpl w:val="FFFFFFFF"/>
    <w:lvl w:ilvl="0">
      <w:start w:val="6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07750AC"/>
    <w:multiLevelType w:val="multilevel"/>
    <w:tmpl w:val="FFFFFFFF"/>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29520C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AD5121C"/>
    <w:multiLevelType w:val="hybridMultilevel"/>
    <w:tmpl w:val="D1B6EF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26C80D43"/>
    <w:multiLevelType w:val="multilevel"/>
    <w:tmpl w:val="FFFFFFFF"/>
    <w:lvl w:ilvl="0">
      <w:start w:val="6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80C1976"/>
    <w:multiLevelType w:val="multilevel"/>
    <w:tmpl w:val="FFFFFFFF"/>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ABB78FE"/>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B5A47B0"/>
    <w:multiLevelType w:val="multilevel"/>
    <w:tmpl w:val="FC50544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2C6D7B0D"/>
    <w:multiLevelType w:val="multilevel"/>
    <w:tmpl w:val="FFFFFFFF"/>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CC8313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ECA2BB0"/>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0A44D87"/>
    <w:multiLevelType w:val="multilevel"/>
    <w:tmpl w:val="FFFFFFFF"/>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1431EAC"/>
    <w:multiLevelType w:val="hybridMultilevel"/>
    <w:tmpl w:val="E1C6F4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374D3A9E"/>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97A2B4D"/>
    <w:multiLevelType w:val="multilevel"/>
    <w:tmpl w:val="FFFFFFFF"/>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9FC49EB"/>
    <w:multiLevelType w:val="multilevel"/>
    <w:tmpl w:val="FFFFFFFF"/>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B7D617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C4F6113"/>
    <w:multiLevelType w:val="multilevel"/>
    <w:tmpl w:val="FFFFFFFF"/>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E743270"/>
    <w:multiLevelType w:val="multilevel"/>
    <w:tmpl w:val="B5EA848E"/>
    <w:lvl w:ilvl="0">
      <w:start w:val="1"/>
      <w:numFmt w:val="decimal"/>
      <w:lvlText w:val="%1"/>
      <w:lvlJc w:val="left"/>
      <w:pPr>
        <w:ind w:left="467" w:hanging="360"/>
      </w:pPr>
      <w:rPr>
        <w:rFonts w:hint="default"/>
        <w:lang w:val="es-ES" w:eastAsia="en-US" w:bidi="ar-SA"/>
      </w:rPr>
    </w:lvl>
    <w:lvl w:ilvl="1">
      <w:start w:val="4"/>
      <w:numFmt w:val="decimal"/>
      <w:lvlText w:val="%1.%2"/>
      <w:lvlJc w:val="left"/>
      <w:pPr>
        <w:ind w:left="360"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067"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2577" w:hanging="540"/>
      </w:pPr>
      <w:rPr>
        <w:rFonts w:hint="default"/>
        <w:lang w:val="es-ES" w:eastAsia="en-US" w:bidi="ar-SA"/>
      </w:rPr>
    </w:lvl>
    <w:lvl w:ilvl="4">
      <w:numFmt w:val="bullet"/>
      <w:lvlText w:val="•"/>
      <w:lvlJc w:val="left"/>
      <w:pPr>
        <w:ind w:left="3336" w:hanging="540"/>
      </w:pPr>
      <w:rPr>
        <w:rFonts w:hint="default"/>
        <w:lang w:val="es-ES" w:eastAsia="en-US" w:bidi="ar-SA"/>
      </w:rPr>
    </w:lvl>
    <w:lvl w:ilvl="5">
      <w:numFmt w:val="bullet"/>
      <w:lvlText w:val="•"/>
      <w:lvlJc w:val="left"/>
      <w:pPr>
        <w:ind w:left="4095" w:hanging="540"/>
      </w:pPr>
      <w:rPr>
        <w:rFonts w:hint="default"/>
        <w:lang w:val="es-ES" w:eastAsia="en-US" w:bidi="ar-SA"/>
      </w:rPr>
    </w:lvl>
    <w:lvl w:ilvl="6">
      <w:numFmt w:val="bullet"/>
      <w:lvlText w:val="•"/>
      <w:lvlJc w:val="left"/>
      <w:pPr>
        <w:ind w:left="4854" w:hanging="540"/>
      </w:pPr>
      <w:rPr>
        <w:rFonts w:hint="default"/>
        <w:lang w:val="es-ES" w:eastAsia="en-US" w:bidi="ar-SA"/>
      </w:rPr>
    </w:lvl>
    <w:lvl w:ilvl="7">
      <w:numFmt w:val="bullet"/>
      <w:lvlText w:val="•"/>
      <w:lvlJc w:val="left"/>
      <w:pPr>
        <w:ind w:left="5613" w:hanging="540"/>
      </w:pPr>
      <w:rPr>
        <w:rFonts w:hint="default"/>
        <w:lang w:val="es-ES" w:eastAsia="en-US" w:bidi="ar-SA"/>
      </w:rPr>
    </w:lvl>
    <w:lvl w:ilvl="8">
      <w:numFmt w:val="bullet"/>
      <w:lvlText w:val="•"/>
      <w:lvlJc w:val="left"/>
      <w:pPr>
        <w:ind w:left="6372" w:hanging="540"/>
      </w:pPr>
      <w:rPr>
        <w:rFonts w:hint="default"/>
        <w:lang w:val="es-ES" w:eastAsia="en-US" w:bidi="ar-SA"/>
      </w:rPr>
    </w:lvl>
  </w:abstractNum>
  <w:abstractNum w:abstractNumId="33" w15:restartNumberingAfterBreak="0">
    <w:nsid w:val="3EC41C8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07C089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39C023E"/>
    <w:multiLevelType w:val="multilevel"/>
    <w:tmpl w:val="FFFFFFFF"/>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43F6392"/>
    <w:multiLevelType w:val="multilevel"/>
    <w:tmpl w:val="FFFFFFFF"/>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909334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9C1235C"/>
    <w:multiLevelType w:val="multilevel"/>
    <w:tmpl w:val="FFFFFFFF"/>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D575520"/>
    <w:multiLevelType w:val="multilevel"/>
    <w:tmpl w:val="FFFFFFFF"/>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FC02C03"/>
    <w:multiLevelType w:val="hybridMultilevel"/>
    <w:tmpl w:val="0FB605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5092476A"/>
    <w:multiLevelType w:val="multilevel"/>
    <w:tmpl w:val="FFFFFFFF"/>
    <w:lvl w:ilvl="0">
      <w:start w:val="6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1D46A7C"/>
    <w:multiLevelType w:val="multilevel"/>
    <w:tmpl w:val="FFFFFFFF"/>
    <w:lvl w:ilvl="0">
      <w:start w:val="6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29F6F72"/>
    <w:multiLevelType w:val="multilevel"/>
    <w:tmpl w:val="FFFFFFFF"/>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C660B65"/>
    <w:multiLevelType w:val="multilevel"/>
    <w:tmpl w:val="3D204E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5CB561E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18325A9"/>
    <w:multiLevelType w:val="hybridMultilevel"/>
    <w:tmpl w:val="EB327C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62245C6E"/>
    <w:multiLevelType w:val="multilevel"/>
    <w:tmpl w:val="FFFFFFFF"/>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3515A18"/>
    <w:multiLevelType w:val="hybridMultilevel"/>
    <w:tmpl w:val="8C422A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681A7C6A"/>
    <w:multiLevelType w:val="multilevel"/>
    <w:tmpl w:val="FFFFFFFF"/>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94F424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A760FFC"/>
    <w:multiLevelType w:val="multilevel"/>
    <w:tmpl w:val="FFFFFFFF"/>
    <w:lvl w:ilvl="0">
      <w:start w:val="4"/>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52" w15:restartNumberingAfterBreak="0">
    <w:nsid w:val="6CA67DBC"/>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CED19C7"/>
    <w:multiLevelType w:val="multilevel"/>
    <w:tmpl w:val="501A6A32"/>
    <w:lvl w:ilvl="0">
      <w:start w:val="1"/>
      <w:numFmt w:val="decimal"/>
      <w:lvlText w:val="%1"/>
      <w:lvlJc w:val="left"/>
      <w:pPr>
        <w:ind w:left="467" w:hanging="360"/>
      </w:pPr>
      <w:rPr>
        <w:rFonts w:hint="default"/>
        <w:lang w:val="es-ES" w:eastAsia="en-US" w:bidi="ar-SA"/>
      </w:rPr>
    </w:lvl>
    <w:lvl w:ilvl="1">
      <w:start w:val="3"/>
      <w:numFmt w:val="decimal"/>
      <w:lvlText w:val="%1.%2"/>
      <w:lvlJc w:val="left"/>
      <w:pPr>
        <w:ind w:left="467"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007" w:hanging="540"/>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2531" w:hanging="540"/>
      </w:pPr>
      <w:rPr>
        <w:rFonts w:hint="default"/>
        <w:lang w:val="es-ES" w:eastAsia="en-US" w:bidi="ar-SA"/>
      </w:rPr>
    </w:lvl>
    <w:lvl w:ilvl="4">
      <w:numFmt w:val="bullet"/>
      <w:lvlText w:val="•"/>
      <w:lvlJc w:val="left"/>
      <w:pPr>
        <w:ind w:left="3296" w:hanging="540"/>
      </w:pPr>
      <w:rPr>
        <w:rFonts w:hint="default"/>
        <w:lang w:val="es-ES" w:eastAsia="en-US" w:bidi="ar-SA"/>
      </w:rPr>
    </w:lvl>
    <w:lvl w:ilvl="5">
      <w:numFmt w:val="bullet"/>
      <w:lvlText w:val="•"/>
      <w:lvlJc w:val="left"/>
      <w:pPr>
        <w:ind w:left="4062" w:hanging="540"/>
      </w:pPr>
      <w:rPr>
        <w:rFonts w:hint="default"/>
        <w:lang w:val="es-ES" w:eastAsia="en-US" w:bidi="ar-SA"/>
      </w:rPr>
    </w:lvl>
    <w:lvl w:ilvl="6">
      <w:numFmt w:val="bullet"/>
      <w:lvlText w:val="•"/>
      <w:lvlJc w:val="left"/>
      <w:pPr>
        <w:ind w:left="4827" w:hanging="540"/>
      </w:pPr>
      <w:rPr>
        <w:rFonts w:hint="default"/>
        <w:lang w:val="es-ES" w:eastAsia="en-US" w:bidi="ar-SA"/>
      </w:rPr>
    </w:lvl>
    <w:lvl w:ilvl="7">
      <w:numFmt w:val="bullet"/>
      <w:lvlText w:val="•"/>
      <w:lvlJc w:val="left"/>
      <w:pPr>
        <w:ind w:left="5593" w:hanging="540"/>
      </w:pPr>
      <w:rPr>
        <w:rFonts w:hint="default"/>
        <w:lang w:val="es-ES" w:eastAsia="en-US" w:bidi="ar-SA"/>
      </w:rPr>
    </w:lvl>
    <w:lvl w:ilvl="8">
      <w:numFmt w:val="bullet"/>
      <w:lvlText w:val="•"/>
      <w:lvlJc w:val="left"/>
      <w:pPr>
        <w:ind w:left="6358" w:hanging="540"/>
      </w:pPr>
      <w:rPr>
        <w:rFonts w:hint="default"/>
        <w:lang w:val="es-ES" w:eastAsia="en-US" w:bidi="ar-SA"/>
      </w:rPr>
    </w:lvl>
  </w:abstractNum>
  <w:abstractNum w:abstractNumId="54" w15:restartNumberingAfterBreak="0">
    <w:nsid w:val="6EF90938"/>
    <w:multiLevelType w:val="hybridMultilevel"/>
    <w:tmpl w:val="BB0892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15:restartNumberingAfterBreak="0">
    <w:nsid w:val="71811FD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3DC09DE"/>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742F740A"/>
    <w:multiLevelType w:val="multilevel"/>
    <w:tmpl w:val="FFFFFFFF"/>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7816E6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C86655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CE94C03"/>
    <w:multiLevelType w:val="hybridMultilevel"/>
    <w:tmpl w:val="A308F30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1" w15:restartNumberingAfterBreak="0">
    <w:nsid w:val="7F8C7794"/>
    <w:multiLevelType w:val="hybridMultilevel"/>
    <w:tmpl w:val="9BE410A0"/>
    <w:lvl w:ilvl="0" w:tplc="FFFFFFFF">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77294344">
    <w:abstractNumId w:val="32"/>
  </w:num>
  <w:num w:numId="2" w16cid:durableId="1350330977">
    <w:abstractNumId w:val="11"/>
  </w:num>
  <w:num w:numId="3" w16cid:durableId="1262686432">
    <w:abstractNumId w:val="53"/>
  </w:num>
  <w:num w:numId="4" w16cid:durableId="1734885074">
    <w:abstractNumId w:val="21"/>
  </w:num>
  <w:num w:numId="5" w16cid:durableId="317197927">
    <w:abstractNumId w:val="61"/>
  </w:num>
  <w:num w:numId="6" w16cid:durableId="1720546613">
    <w:abstractNumId w:val="48"/>
  </w:num>
  <w:num w:numId="7" w16cid:durableId="2003118159">
    <w:abstractNumId w:val="2"/>
  </w:num>
  <w:num w:numId="8" w16cid:durableId="1138110856">
    <w:abstractNumId w:val="1"/>
  </w:num>
  <w:num w:numId="9" w16cid:durableId="2087146939">
    <w:abstractNumId w:val="54"/>
  </w:num>
  <w:num w:numId="10" w16cid:durableId="1523591891">
    <w:abstractNumId w:val="44"/>
  </w:num>
  <w:num w:numId="11" w16cid:durableId="1631932581">
    <w:abstractNumId w:val="5"/>
  </w:num>
  <w:num w:numId="12" w16cid:durableId="1153059142">
    <w:abstractNumId w:val="27"/>
  </w:num>
  <w:num w:numId="13" w16cid:durableId="1304231950">
    <w:abstractNumId w:val="46"/>
  </w:num>
  <w:num w:numId="14" w16cid:durableId="1308707477">
    <w:abstractNumId w:val="23"/>
  </w:num>
  <w:num w:numId="15" w16cid:durableId="203257872">
    <w:abstractNumId w:val="0"/>
  </w:num>
  <w:num w:numId="16" w16cid:durableId="1265382868">
    <w:abstractNumId w:val="4"/>
  </w:num>
  <w:num w:numId="17" w16cid:durableId="1639188623">
    <w:abstractNumId w:val="13"/>
  </w:num>
  <w:num w:numId="18" w16cid:durableId="646054782">
    <w:abstractNumId w:val="31"/>
  </w:num>
  <w:num w:numId="19" w16cid:durableId="669605134">
    <w:abstractNumId w:val="59"/>
  </w:num>
  <w:num w:numId="20" w16cid:durableId="924995226">
    <w:abstractNumId w:val="34"/>
  </w:num>
  <w:num w:numId="21" w16cid:durableId="1428766830">
    <w:abstractNumId w:val="24"/>
  </w:num>
  <w:num w:numId="22" w16cid:durableId="962080222">
    <w:abstractNumId w:val="30"/>
  </w:num>
  <w:num w:numId="23" w16cid:durableId="702245743">
    <w:abstractNumId w:val="33"/>
  </w:num>
  <w:num w:numId="24" w16cid:durableId="1990330655">
    <w:abstractNumId w:val="20"/>
  </w:num>
  <w:num w:numId="25" w16cid:durableId="1877572908">
    <w:abstractNumId w:val="50"/>
  </w:num>
  <w:num w:numId="26" w16cid:durableId="781068856">
    <w:abstractNumId w:val="7"/>
  </w:num>
  <w:num w:numId="27" w16cid:durableId="1636717130">
    <w:abstractNumId w:val="51"/>
  </w:num>
  <w:num w:numId="28" w16cid:durableId="662005483">
    <w:abstractNumId w:val="6"/>
  </w:num>
  <w:num w:numId="29" w16cid:durableId="189799063">
    <w:abstractNumId w:val="19"/>
  </w:num>
  <w:num w:numId="30" w16cid:durableId="1279289158">
    <w:abstractNumId w:val="47"/>
  </w:num>
  <w:num w:numId="31" w16cid:durableId="311444842">
    <w:abstractNumId w:val="29"/>
  </w:num>
  <w:num w:numId="32" w16cid:durableId="2010983851">
    <w:abstractNumId w:val="58"/>
  </w:num>
  <w:num w:numId="33" w16cid:durableId="1954748428">
    <w:abstractNumId w:val="52"/>
  </w:num>
  <w:num w:numId="34" w16cid:durableId="1707412942">
    <w:abstractNumId w:val="9"/>
  </w:num>
  <w:num w:numId="35" w16cid:durableId="1016731384">
    <w:abstractNumId w:val="56"/>
  </w:num>
  <w:num w:numId="36" w16cid:durableId="1477255570">
    <w:abstractNumId w:val="60"/>
  </w:num>
  <w:num w:numId="37" w16cid:durableId="1075199471">
    <w:abstractNumId w:val="37"/>
  </w:num>
  <w:num w:numId="38" w16cid:durableId="803935151">
    <w:abstractNumId w:val="10"/>
  </w:num>
  <w:num w:numId="39" w16cid:durableId="1798714680">
    <w:abstractNumId w:val="26"/>
  </w:num>
  <w:num w:numId="40" w16cid:durableId="1918202380">
    <w:abstractNumId w:val="40"/>
  </w:num>
  <w:num w:numId="41" w16cid:durableId="1842349913">
    <w:abstractNumId w:val="17"/>
  </w:num>
  <w:num w:numId="42" w16cid:durableId="1208568295">
    <w:abstractNumId w:val="45"/>
  </w:num>
  <w:num w:numId="43" w16cid:durableId="197789322">
    <w:abstractNumId w:val="43"/>
  </w:num>
  <w:num w:numId="44" w16cid:durableId="1162160097">
    <w:abstractNumId w:val="35"/>
  </w:num>
  <w:num w:numId="45" w16cid:durableId="1585722081">
    <w:abstractNumId w:val="25"/>
  </w:num>
  <w:num w:numId="46" w16cid:durableId="819616597">
    <w:abstractNumId w:val="15"/>
  </w:num>
  <w:num w:numId="47" w16cid:durableId="609047212">
    <w:abstractNumId w:val="49"/>
  </w:num>
  <w:num w:numId="48" w16cid:durableId="1641376352">
    <w:abstractNumId w:val="57"/>
  </w:num>
  <w:num w:numId="49" w16cid:durableId="102071595">
    <w:abstractNumId w:val="16"/>
  </w:num>
  <w:num w:numId="50" w16cid:durableId="1866670995">
    <w:abstractNumId w:val="12"/>
  </w:num>
  <w:num w:numId="51" w16cid:durableId="50809943">
    <w:abstractNumId w:val="55"/>
  </w:num>
  <w:num w:numId="52" w16cid:durableId="290285142">
    <w:abstractNumId w:val="8"/>
  </w:num>
  <w:num w:numId="53" w16cid:durableId="91171542">
    <w:abstractNumId w:val="3"/>
  </w:num>
  <w:num w:numId="54" w16cid:durableId="1207374114">
    <w:abstractNumId w:val="38"/>
  </w:num>
  <w:num w:numId="55" w16cid:durableId="543560760">
    <w:abstractNumId w:val="36"/>
  </w:num>
  <w:num w:numId="56" w16cid:durableId="1868760534">
    <w:abstractNumId w:val="22"/>
  </w:num>
  <w:num w:numId="57" w16cid:durableId="1769085136">
    <w:abstractNumId w:val="28"/>
  </w:num>
  <w:num w:numId="58" w16cid:durableId="1774738675">
    <w:abstractNumId w:val="39"/>
  </w:num>
  <w:num w:numId="59" w16cid:durableId="1906184665">
    <w:abstractNumId w:val="41"/>
  </w:num>
  <w:num w:numId="60" w16cid:durableId="82993796">
    <w:abstractNumId w:val="18"/>
  </w:num>
  <w:num w:numId="61" w16cid:durableId="416555049">
    <w:abstractNumId w:val="14"/>
  </w:num>
  <w:num w:numId="62" w16cid:durableId="1629118491">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389"/>
    <w:rsid w:val="000013F5"/>
    <w:rsid w:val="0000205A"/>
    <w:rsid w:val="0000541D"/>
    <w:rsid w:val="00007207"/>
    <w:rsid w:val="000119BE"/>
    <w:rsid w:val="00011DB1"/>
    <w:rsid w:val="00014518"/>
    <w:rsid w:val="000156EA"/>
    <w:rsid w:val="000203EE"/>
    <w:rsid w:val="00025111"/>
    <w:rsid w:val="00026B44"/>
    <w:rsid w:val="00031040"/>
    <w:rsid w:val="000331A8"/>
    <w:rsid w:val="00033804"/>
    <w:rsid w:val="00034A1B"/>
    <w:rsid w:val="00037160"/>
    <w:rsid w:val="00040166"/>
    <w:rsid w:val="00040258"/>
    <w:rsid w:val="0004261F"/>
    <w:rsid w:val="00043ECC"/>
    <w:rsid w:val="0004620C"/>
    <w:rsid w:val="00047452"/>
    <w:rsid w:val="00050DE0"/>
    <w:rsid w:val="0005213E"/>
    <w:rsid w:val="00061685"/>
    <w:rsid w:val="00064773"/>
    <w:rsid w:val="00065B21"/>
    <w:rsid w:val="00067C20"/>
    <w:rsid w:val="00071612"/>
    <w:rsid w:val="00083DD7"/>
    <w:rsid w:val="00083F8C"/>
    <w:rsid w:val="000840C3"/>
    <w:rsid w:val="0008506B"/>
    <w:rsid w:val="00087425"/>
    <w:rsid w:val="00093394"/>
    <w:rsid w:val="0009365D"/>
    <w:rsid w:val="00097193"/>
    <w:rsid w:val="000A144E"/>
    <w:rsid w:val="000A3843"/>
    <w:rsid w:val="000B0AEC"/>
    <w:rsid w:val="000B4A0A"/>
    <w:rsid w:val="000B7452"/>
    <w:rsid w:val="000C18A0"/>
    <w:rsid w:val="000C5AAF"/>
    <w:rsid w:val="000D0BE8"/>
    <w:rsid w:val="000D1BF0"/>
    <w:rsid w:val="000D77B1"/>
    <w:rsid w:val="000E10DD"/>
    <w:rsid w:val="000E2E1D"/>
    <w:rsid w:val="000F4301"/>
    <w:rsid w:val="000F4A25"/>
    <w:rsid w:val="000F4F22"/>
    <w:rsid w:val="000F4F41"/>
    <w:rsid w:val="001002ED"/>
    <w:rsid w:val="001011F7"/>
    <w:rsid w:val="00101AD2"/>
    <w:rsid w:val="00102A11"/>
    <w:rsid w:val="00103CB8"/>
    <w:rsid w:val="001056B2"/>
    <w:rsid w:val="00113831"/>
    <w:rsid w:val="00114A84"/>
    <w:rsid w:val="00115E58"/>
    <w:rsid w:val="001215BE"/>
    <w:rsid w:val="00121744"/>
    <w:rsid w:val="0012527E"/>
    <w:rsid w:val="00131A2A"/>
    <w:rsid w:val="00132AB4"/>
    <w:rsid w:val="0013352D"/>
    <w:rsid w:val="00134002"/>
    <w:rsid w:val="001419D8"/>
    <w:rsid w:val="001421EE"/>
    <w:rsid w:val="001427A6"/>
    <w:rsid w:val="001428AE"/>
    <w:rsid w:val="00151745"/>
    <w:rsid w:val="001547D3"/>
    <w:rsid w:val="00155DDC"/>
    <w:rsid w:val="001607FD"/>
    <w:rsid w:val="00161CC1"/>
    <w:rsid w:val="001641F0"/>
    <w:rsid w:val="00164AC2"/>
    <w:rsid w:val="00171C40"/>
    <w:rsid w:val="0017579E"/>
    <w:rsid w:val="00175EDB"/>
    <w:rsid w:val="00175F56"/>
    <w:rsid w:val="00175FFD"/>
    <w:rsid w:val="0018107F"/>
    <w:rsid w:val="001845DB"/>
    <w:rsid w:val="00184F23"/>
    <w:rsid w:val="0018638C"/>
    <w:rsid w:val="001927EA"/>
    <w:rsid w:val="0019303D"/>
    <w:rsid w:val="001956FC"/>
    <w:rsid w:val="001A3DFC"/>
    <w:rsid w:val="001A6956"/>
    <w:rsid w:val="001A718F"/>
    <w:rsid w:val="001B10D7"/>
    <w:rsid w:val="001B5CF4"/>
    <w:rsid w:val="001B5FBD"/>
    <w:rsid w:val="001C3BA5"/>
    <w:rsid w:val="001C42E8"/>
    <w:rsid w:val="001C43E5"/>
    <w:rsid w:val="001C6A99"/>
    <w:rsid w:val="001C6E9F"/>
    <w:rsid w:val="001D0993"/>
    <w:rsid w:val="001D7450"/>
    <w:rsid w:val="001E097B"/>
    <w:rsid w:val="001E3B04"/>
    <w:rsid w:val="001E5903"/>
    <w:rsid w:val="001F3CDC"/>
    <w:rsid w:val="0020263B"/>
    <w:rsid w:val="00206E48"/>
    <w:rsid w:val="002148F6"/>
    <w:rsid w:val="00217504"/>
    <w:rsid w:val="00220B71"/>
    <w:rsid w:val="00225E0C"/>
    <w:rsid w:val="00226FB0"/>
    <w:rsid w:val="00227880"/>
    <w:rsid w:val="002314B5"/>
    <w:rsid w:val="00233CBE"/>
    <w:rsid w:val="00240AFA"/>
    <w:rsid w:val="00241292"/>
    <w:rsid w:val="002442B0"/>
    <w:rsid w:val="0024462C"/>
    <w:rsid w:val="002520E5"/>
    <w:rsid w:val="002529A4"/>
    <w:rsid w:val="00253472"/>
    <w:rsid w:val="0026136F"/>
    <w:rsid w:val="00262006"/>
    <w:rsid w:val="002663E1"/>
    <w:rsid w:val="00284355"/>
    <w:rsid w:val="00287368"/>
    <w:rsid w:val="00287484"/>
    <w:rsid w:val="002909D5"/>
    <w:rsid w:val="00291874"/>
    <w:rsid w:val="00297801"/>
    <w:rsid w:val="002A2366"/>
    <w:rsid w:val="002A3085"/>
    <w:rsid w:val="002A6981"/>
    <w:rsid w:val="002B0DAB"/>
    <w:rsid w:val="002B27FB"/>
    <w:rsid w:val="002B4A5C"/>
    <w:rsid w:val="002B7DE3"/>
    <w:rsid w:val="002C0BCB"/>
    <w:rsid w:val="002D0C07"/>
    <w:rsid w:val="002D20A9"/>
    <w:rsid w:val="002D2451"/>
    <w:rsid w:val="002E012C"/>
    <w:rsid w:val="002F6182"/>
    <w:rsid w:val="002F7434"/>
    <w:rsid w:val="003013DE"/>
    <w:rsid w:val="00301CD7"/>
    <w:rsid w:val="00310382"/>
    <w:rsid w:val="00311950"/>
    <w:rsid w:val="00312201"/>
    <w:rsid w:val="00312ADA"/>
    <w:rsid w:val="00312BCB"/>
    <w:rsid w:val="00312C66"/>
    <w:rsid w:val="0031500F"/>
    <w:rsid w:val="00320F43"/>
    <w:rsid w:val="00322767"/>
    <w:rsid w:val="00325A9C"/>
    <w:rsid w:val="00325B5A"/>
    <w:rsid w:val="00330CD3"/>
    <w:rsid w:val="00332388"/>
    <w:rsid w:val="003400D0"/>
    <w:rsid w:val="003406E6"/>
    <w:rsid w:val="003437F0"/>
    <w:rsid w:val="00343B6B"/>
    <w:rsid w:val="003549BF"/>
    <w:rsid w:val="00357FD5"/>
    <w:rsid w:val="00361DB3"/>
    <w:rsid w:val="00361E50"/>
    <w:rsid w:val="00370411"/>
    <w:rsid w:val="00370E57"/>
    <w:rsid w:val="00375C0F"/>
    <w:rsid w:val="00375C97"/>
    <w:rsid w:val="0037773A"/>
    <w:rsid w:val="003778C0"/>
    <w:rsid w:val="00382580"/>
    <w:rsid w:val="00382A71"/>
    <w:rsid w:val="00384A53"/>
    <w:rsid w:val="0038503A"/>
    <w:rsid w:val="00385040"/>
    <w:rsid w:val="00386730"/>
    <w:rsid w:val="0039314C"/>
    <w:rsid w:val="00393CAB"/>
    <w:rsid w:val="003A092F"/>
    <w:rsid w:val="003A4DF7"/>
    <w:rsid w:val="003A58CB"/>
    <w:rsid w:val="003A5ECC"/>
    <w:rsid w:val="003B034A"/>
    <w:rsid w:val="003C1FAC"/>
    <w:rsid w:val="003C73B9"/>
    <w:rsid w:val="003D126D"/>
    <w:rsid w:val="003D3849"/>
    <w:rsid w:val="003E3743"/>
    <w:rsid w:val="003F0270"/>
    <w:rsid w:val="003F210F"/>
    <w:rsid w:val="003F21F1"/>
    <w:rsid w:val="003F6123"/>
    <w:rsid w:val="003F7B7C"/>
    <w:rsid w:val="00401F0D"/>
    <w:rsid w:val="00402656"/>
    <w:rsid w:val="00404430"/>
    <w:rsid w:val="004100A4"/>
    <w:rsid w:val="00411B42"/>
    <w:rsid w:val="00414AAD"/>
    <w:rsid w:val="00415AA9"/>
    <w:rsid w:val="004163CC"/>
    <w:rsid w:val="00417672"/>
    <w:rsid w:val="00421D19"/>
    <w:rsid w:val="004250D2"/>
    <w:rsid w:val="00426230"/>
    <w:rsid w:val="00426AEC"/>
    <w:rsid w:val="00426FFF"/>
    <w:rsid w:val="004341C7"/>
    <w:rsid w:val="00434D9B"/>
    <w:rsid w:val="00436739"/>
    <w:rsid w:val="00445E40"/>
    <w:rsid w:val="0044611D"/>
    <w:rsid w:val="00447E7D"/>
    <w:rsid w:val="0045128A"/>
    <w:rsid w:val="00453502"/>
    <w:rsid w:val="00454A21"/>
    <w:rsid w:val="00455F29"/>
    <w:rsid w:val="004578BD"/>
    <w:rsid w:val="00457D1A"/>
    <w:rsid w:val="00464CF1"/>
    <w:rsid w:val="004651DE"/>
    <w:rsid w:val="00465258"/>
    <w:rsid w:val="00466AC2"/>
    <w:rsid w:val="00466FCB"/>
    <w:rsid w:val="0048246F"/>
    <w:rsid w:val="00482599"/>
    <w:rsid w:val="00483129"/>
    <w:rsid w:val="0048435C"/>
    <w:rsid w:val="004852B1"/>
    <w:rsid w:val="00486644"/>
    <w:rsid w:val="004867E8"/>
    <w:rsid w:val="00492BEC"/>
    <w:rsid w:val="00496CBC"/>
    <w:rsid w:val="00497A26"/>
    <w:rsid w:val="004A1D03"/>
    <w:rsid w:val="004A2769"/>
    <w:rsid w:val="004A5132"/>
    <w:rsid w:val="004A7F9F"/>
    <w:rsid w:val="004B45EE"/>
    <w:rsid w:val="004B4ED2"/>
    <w:rsid w:val="004C4250"/>
    <w:rsid w:val="004C4BE2"/>
    <w:rsid w:val="004C7391"/>
    <w:rsid w:val="004D2457"/>
    <w:rsid w:val="004D2C69"/>
    <w:rsid w:val="004D554D"/>
    <w:rsid w:val="004E011D"/>
    <w:rsid w:val="004E012C"/>
    <w:rsid w:val="004E2375"/>
    <w:rsid w:val="004E31C3"/>
    <w:rsid w:val="004F22D6"/>
    <w:rsid w:val="004F3F3F"/>
    <w:rsid w:val="004F46F5"/>
    <w:rsid w:val="004F5BFD"/>
    <w:rsid w:val="004F6F66"/>
    <w:rsid w:val="004F7010"/>
    <w:rsid w:val="00500BBC"/>
    <w:rsid w:val="00502472"/>
    <w:rsid w:val="00503B1D"/>
    <w:rsid w:val="00505694"/>
    <w:rsid w:val="00507C1F"/>
    <w:rsid w:val="005116F3"/>
    <w:rsid w:val="005128BB"/>
    <w:rsid w:val="00514232"/>
    <w:rsid w:val="00514585"/>
    <w:rsid w:val="00516400"/>
    <w:rsid w:val="0051751E"/>
    <w:rsid w:val="0052071B"/>
    <w:rsid w:val="00521966"/>
    <w:rsid w:val="00522464"/>
    <w:rsid w:val="005245BC"/>
    <w:rsid w:val="00524FD6"/>
    <w:rsid w:val="0052603C"/>
    <w:rsid w:val="00531873"/>
    <w:rsid w:val="0053305C"/>
    <w:rsid w:val="00537F0F"/>
    <w:rsid w:val="00540292"/>
    <w:rsid w:val="0054387E"/>
    <w:rsid w:val="005445A8"/>
    <w:rsid w:val="00546290"/>
    <w:rsid w:val="005473BE"/>
    <w:rsid w:val="005514FD"/>
    <w:rsid w:val="0055293E"/>
    <w:rsid w:val="00552A7A"/>
    <w:rsid w:val="005544D5"/>
    <w:rsid w:val="00557F13"/>
    <w:rsid w:val="00561239"/>
    <w:rsid w:val="00565E23"/>
    <w:rsid w:val="00566DC2"/>
    <w:rsid w:val="00570A7D"/>
    <w:rsid w:val="00570B59"/>
    <w:rsid w:val="0057223B"/>
    <w:rsid w:val="00575CD0"/>
    <w:rsid w:val="00575EFA"/>
    <w:rsid w:val="00575FB0"/>
    <w:rsid w:val="00584171"/>
    <w:rsid w:val="0058472F"/>
    <w:rsid w:val="0058611F"/>
    <w:rsid w:val="00587E16"/>
    <w:rsid w:val="005958FC"/>
    <w:rsid w:val="005A32D7"/>
    <w:rsid w:val="005A3DD0"/>
    <w:rsid w:val="005A6E09"/>
    <w:rsid w:val="005B48E5"/>
    <w:rsid w:val="005C40DB"/>
    <w:rsid w:val="005C6909"/>
    <w:rsid w:val="005D5096"/>
    <w:rsid w:val="005D6205"/>
    <w:rsid w:val="005D6BAF"/>
    <w:rsid w:val="005E14B4"/>
    <w:rsid w:val="005E14F1"/>
    <w:rsid w:val="005E1961"/>
    <w:rsid w:val="005E2390"/>
    <w:rsid w:val="005E597A"/>
    <w:rsid w:val="005F1B4E"/>
    <w:rsid w:val="005F762A"/>
    <w:rsid w:val="005F7D6C"/>
    <w:rsid w:val="0060354B"/>
    <w:rsid w:val="00603CF5"/>
    <w:rsid w:val="0061463C"/>
    <w:rsid w:val="00614BCE"/>
    <w:rsid w:val="006238E3"/>
    <w:rsid w:val="00632043"/>
    <w:rsid w:val="006351A0"/>
    <w:rsid w:val="006351C2"/>
    <w:rsid w:val="00635AD2"/>
    <w:rsid w:val="006423D0"/>
    <w:rsid w:val="00647533"/>
    <w:rsid w:val="006475B7"/>
    <w:rsid w:val="00650CCF"/>
    <w:rsid w:val="0065195A"/>
    <w:rsid w:val="00651EC3"/>
    <w:rsid w:val="00653EF0"/>
    <w:rsid w:val="00654060"/>
    <w:rsid w:val="00661C54"/>
    <w:rsid w:val="00664323"/>
    <w:rsid w:val="00667C8F"/>
    <w:rsid w:val="00676B3D"/>
    <w:rsid w:val="006807D7"/>
    <w:rsid w:val="00682EF5"/>
    <w:rsid w:val="006859AA"/>
    <w:rsid w:val="0069542A"/>
    <w:rsid w:val="006A00EF"/>
    <w:rsid w:val="006A2997"/>
    <w:rsid w:val="006A5EBE"/>
    <w:rsid w:val="006B2CDA"/>
    <w:rsid w:val="006B639C"/>
    <w:rsid w:val="006B7042"/>
    <w:rsid w:val="006C22E0"/>
    <w:rsid w:val="006C326C"/>
    <w:rsid w:val="006D1457"/>
    <w:rsid w:val="006D202E"/>
    <w:rsid w:val="006D2DBC"/>
    <w:rsid w:val="006D5993"/>
    <w:rsid w:val="006E0926"/>
    <w:rsid w:val="006E2EEF"/>
    <w:rsid w:val="006E3DF1"/>
    <w:rsid w:val="006E4EDD"/>
    <w:rsid w:val="006F09E9"/>
    <w:rsid w:val="006F0CE2"/>
    <w:rsid w:val="006F4E55"/>
    <w:rsid w:val="006F5710"/>
    <w:rsid w:val="00700EF6"/>
    <w:rsid w:val="007018CA"/>
    <w:rsid w:val="00701CD6"/>
    <w:rsid w:val="0070399A"/>
    <w:rsid w:val="00706635"/>
    <w:rsid w:val="007135C8"/>
    <w:rsid w:val="00717175"/>
    <w:rsid w:val="00721DF0"/>
    <w:rsid w:val="00723B03"/>
    <w:rsid w:val="00723DAA"/>
    <w:rsid w:val="0072480B"/>
    <w:rsid w:val="00725F0E"/>
    <w:rsid w:val="00726393"/>
    <w:rsid w:val="007269CC"/>
    <w:rsid w:val="0073032C"/>
    <w:rsid w:val="007322F9"/>
    <w:rsid w:val="007346A8"/>
    <w:rsid w:val="0074047B"/>
    <w:rsid w:val="00740D6F"/>
    <w:rsid w:val="00742BDA"/>
    <w:rsid w:val="00747A2C"/>
    <w:rsid w:val="007531FA"/>
    <w:rsid w:val="00754691"/>
    <w:rsid w:val="007559D0"/>
    <w:rsid w:val="00762145"/>
    <w:rsid w:val="00762BBC"/>
    <w:rsid w:val="007646A0"/>
    <w:rsid w:val="00764EB3"/>
    <w:rsid w:val="00766B94"/>
    <w:rsid w:val="00775872"/>
    <w:rsid w:val="007761B6"/>
    <w:rsid w:val="00783B7D"/>
    <w:rsid w:val="007859C1"/>
    <w:rsid w:val="00786EED"/>
    <w:rsid w:val="007932B1"/>
    <w:rsid w:val="007944F3"/>
    <w:rsid w:val="00794D1E"/>
    <w:rsid w:val="007A4CFE"/>
    <w:rsid w:val="007B051C"/>
    <w:rsid w:val="007B0E96"/>
    <w:rsid w:val="007B0F37"/>
    <w:rsid w:val="007B204E"/>
    <w:rsid w:val="007B5B5D"/>
    <w:rsid w:val="007C082C"/>
    <w:rsid w:val="007D2B26"/>
    <w:rsid w:val="007D3E21"/>
    <w:rsid w:val="007D51C9"/>
    <w:rsid w:val="007D5D55"/>
    <w:rsid w:val="007E0D54"/>
    <w:rsid w:val="007E104F"/>
    <w:rsid w:val="007E254C"/>
    <w:rsid w:val="007E508D"/>
    <w:rsid w:val="007E6919"/>
    <w:rsid w:val="007E76C1"/>
    <w:rsid w:val="007F5BB2"/>
    <w:rsid w:val="008065FA"/>
    <w:rsid w:val="00820BD6"/>
    <w:rsid w:val="00821892"/>
    <w:rsid w:val="008226D1"/>
    <w:rsid w:val="00830798"/>
    <w:rsid w:val="00835AF1"/>
    <w:rsid w:val="00841E37"/>
    <w:rsid w:val="00844B6F"/>
    <w:rsid w:val="00850EEC"/>
    <w:rsid w:val="00852FDA"/>
    <w:rsid w:val="00853738"/>
    <w:rsid w:val="0086161E"/>
    <w:rsid w:val="0086186C"/>
    <w:rsid w:val="00862342"/>
    <w:rsid w:val="00867321"/>
    <w:rsid w:val="008679E0"/>
    <w:rsid w:val="008731D0"/>
    <w:rsid w:val="00874266"/>
    <w:rsid w:val="0087699E"/>
    <w:rsid w:val="00877506"/>
    <w:rsid w:val="00880ECF"/>
    <w:rsid w:val="0089133D"/>
    <w:rsid w:val="00891F3E"/>
    <w:rsid w:val="008936D9"/>
    <w:rsid w:val="00894F8B"/>
    <w:rsid w:val="008956C3"/>
    <w:rsid w:val="008969CF"/>
    <w:rsid w:val="008A0655"/>
    <w:rsid w:val="008A73FA"/>
    <w:rsid w:val="008A7D5C"/>
    <w:rsid w:val="008B4699"/>
    <w:rsid w:val="008C3ED1"/>
    <w:rsid w:val="008C4934"/>
    <w:rsid w:val="008C53D0"/>
    <w:rsid w:val="008C54BB"/>
    <w:rsid w:val="008D0049"/>
    <w:rsid w:val="008D0895"/>
    <w:rsid w:val="008D275B"/>
    <w:rsid w:val="008D3069"/>
    <w:rsid w:val="008D45F1"/>
    <w:rsid w:val="008D5CA7"/>
    <w:rsid w:val="008E3E83"/>
    <w:rsid w:val="008E7F3D"/>
    <w:rsid w:val="008F1283"/>
    <w:rsid w:val="008F39A8"/>
    <w:rsid w:val="008F3D78"/>
    <w:rsid w:val="008F5472"/>
    <w:rsid w:val="008F6DA6"/>
    <w:rsid w:val="008F749D"/>
    <w:rsid w:val="00900405"/>
    <w:rsid w:val="009013AA"/>
    <w:rsid w:val="0090289C"/>
    <w:rsid w:val="00903C42"/>
    <w:rsid w:val="00904920"/>
    <w:rsid w:val="009064B0"/>
    <w:rsid w:val="0091388C"/>
    <w:rsid w:val="00914DB4"/>
    <w:rsid w:val="009160FD"/>
    <w:rsid w:val="009357B8"/>
    <w:rsid w:val="00936254"/>
    <w:rsid w:val="00936D4C"/>
    <w:rsid w:val="00940B3A"/>
    <w:rsid w:val="00943D9B"/>
    <w:rsid w:val="00945A3A"/>
    <w:rsid w:val="009475CF"/>
    <w:rsid w:val="009512FC"/>
    <w:rsid w:val="00954CF1"/>
    <w:rsid w:val="0095727B"/>
    <w:rsid w:val="009665D5"/>
    <w:rsid w:val="00966703"/>
    <w:rsid w:val="0096760B"/>
    <w:rsid w:val="009729A2"/>
    <w:rsid w:val="00975792"/>
    <w:rsid w:val="009772B5"/>
    <w:rsid w:val="009779F1"/>
    <w:rsid w:val="00984FED"/>
    <w:rsid w:val="00995016"/>
    <w:rsid w:val="009A26E7"/>
    <w:rsid w:val="009A2ABB"/>
    <w:rsid w:val="009A3279"/>
    <w:rsid w:val="009A45E6"/>
    <w:rsid w:val="009A7113"/>
    <w:rsid w:val="009A7976"/>
    <w:rsid w:val="009C3A5F"/>
    <w:rsid w:val="009D0A10"/>
    <w:rsid w:val="009D3B4A"/>
    <w:rsid w:val="009D3B88"/>
    <w:rsid w:val="009E0221"/>
    <w:rsid w:val="009E0609"/>
    <w:rsid w:val="009E50D9"/>
    <w:rsid w:val="009E6341"/>
    <w:rsid w:val="009E7A66"/>
    <w:rsid w:val="009F23B3"/>
    <w:rsid w:val="009F5B3A"/>
    <w:rsid w:val="009F5F9B"/>
    <w:rsid w:val="00A02911"/>
    <w:rsid w:val="00A0642F"/>
    <w:rsid w:val="00A127E2"/>
    <w:rsid w:val="00A12E0A"/>
    <w:rsid w:val="00A138A6"/>
    <w:rsid w:val="00A22505"/>
    <w:rsid w:val="00A23ABD"/>
    <w:rsid w:val="00A3284A"/>
    <w:rsid w:val="00A34F55"/>
    <w:rsid w:val="00A40548"/>
    <w:rsid w:val="00A40856"/>
    <w:rsid w:val="00A419BE"/>
    <w:rsid w:val="00A429C9"/>
    <w:rsid w:val="00A446F8"/>
    <w:rsid w:val="00A45632"/>
    <w:rsid w:val="00A45A92"/>
    <w:rsid w:val="00A45B26"/>
    <w:rsid w:val="00A57061"/>
    <w:rsid w:val="00A62D0F"/>
    <w:rsid w:val="00A6390A"/>
    <w:rsid w:val="00A63948"/>
    <w:rsid w:val="00A65652"/>
    <w:rsid w:val="00A66149"/>
    <w:rsid w:val="00A72A95"/>
    <w:rsid w:val="00A75C20"/>
    <w:rsid w:val="00A82F38"/>
    <w:rsid w:val="00A83158"/>
    <w:rsid w:val="00A86C3C"/>
    <w:rsid w:val="00A86E08"/>
    <w:rsid w:val="00AA0693"/>
    <w:rsid w:val="00AA1D20"/>
    <w:rsid w:val="00AA4382"/>
    <w:rsid w:val="00AA6AC2"/>
    <w:rsid w:val="00AB1589"/>
    <w:rsid w:val="00AB373E"/>
    <w:rsid w:val="00AC0D81"/>
    <w:rsid w:val="00AC1168"/>
    <w:rsid w:val="00AC4CF6"/>
    <w:rsid w:val="00AC77B1"/>
    <w:rsid w:val="00AD0F1D"/>
    <w:rsid w:val="00AD1E45"/>
    <w:rsid w:val="00AD47E2"/>
    <w:rsid w:val="00AE0081"/>
    <w:rsid w:val="00AE33D6"/>
    <w:rsid w:val="00AF24F6"/>
    <w:rsid w:val="00B006CC"/>
    <w:rsid w:val="00B00A0F"/>
    <w:rsid w:val="00B03D44"/>
    <w:rsid w:val="00B04DE1"/>
    <w:rsid w:val="00B053D8"/>
    <w:rsid w:val="00B05693"/>
    <w:rsid w:val="00B10F4C"/>
    <w:rsid w:val="00B138D8"/>
    <w:rsid w:val="00B13BEF"/>
    <w:rsid w:val="00B1533C"/>
    <w:rsid w:val="00B164D2"/>
    <w:rsid w:val="00B20969"/>
    <w:rsid w:val="00B21D40"/>
    <w:rsid w:val="00B22FFF"/>
    <w:rsid w:val="00B24EEE"/>
    <w:rsid w:val="00B36250"/>
    <w:rsid w:val="00B41EDE"/>
    <w:rsid w:val="00B45A05"/>
    <w:rsid w:val="00B46088"/>
    <w:rsid w:val="00B477B7"/>
    <w:rsid w:val="00B53022"/>
    <w:rsid w:val="00B56DE4"/>
    <w:rsid w:val="00B61A21"/>
    <w:rsid w:val="00B61F4E"/>
    <w:rsid w:val="00B631E0"/>
    <w:rsid w:val="00B637FE"/>
    <w:rsid w:val="00B664CE"/>
    <w:rsid w:val="00B73440"/>
    <w:rsid w:val="00B7383C"/>
    <w:rsid w:val="00B74785"/>
    <w:rsid w:val="00B80D09"/>
    <w:rsid w:val="00B813D2"/>
    <w:rsid w:val="00B832CA"/>
    <w:rsid w:val="00B84FB6"/>
    <w:rsid w:val="00B85861"/>
    <w:rsid w:val="00B93F8C"/>
    <w:rsid w:val="00B949D2"/>
    <w:rsid w:val="00B97E54"/>
    <w:rsid w:val="00BA11EB"/>
    <w:rsid w:val="00BA1E46"/>
    <w:rsid w:val="00BA268C"/>
    <w:rsid w:val="00BA49C8"/>
    <w:rsid w:val="00BB3BEB"/>
    <w:rsid w:val="00BC5F7C"/>
    <w:rsid w:val="00BC6EAD"/>
    <w:rsid w:val="00BD03B5"/>
    <w:rsid w:val="00BD4E03"/>
    <w:rsid w:val="00BD4F06"/>
    <w:rsid w:val="00BD6A10"/>
    <w:rsid w:val="00BE2487"/>
    <w:rsid w:val="00BE2E13"/>
    <w:rsid w:val="00BE5F10"/>
    <w:rsid w:val="00BF4987"/>
    <w:rsid w:val="00BF4E07"/>
    <w:rsid w:val="00BF7D58"/>
    <w:rsid w:val="00C00C0D"/>
    <w:rsid w:val="00C0258E"/>
    <w:rsid w:val="00C04099"/>
    <w:rsid w:val="00C05891"/>
    <w:rsid w:val="00C06620"/>
    <w:rsid w:val="00C12959"/>
    <w:rsid w:val="00C15D28"/>
    <w:rsid w:val="00C16F35"/>
    <w:rsid w:val="00C170F0"/>
    <w:rsid w:val="00C206A3"/>
    <w:rsid w:val="00C208AB"/>
    <w:rsid w:val="00C22F86"/>
    <w:rsid w:val="00C22FE7"/>
    <w:rsid w:val="00C2490D"/>
    <w:rsid w:val="00C256ED"/>
    <w:rsid w:val="00C25CD1"/>
    <w:rsid w:val="00C318DE"/>
    <w:rsid w:val="00C322F3"/>
    <w:rsid w:val="00C407FD"/>
    <w:rsid w:val="00C45820"/>
    <w:rsid w:val="00C51A36"/>
    <w:rsid w:val="00C53873"/>
    <w:rsid w:val="00C56078"/>
    <w:rsid w:val="00C614E0"/>
    <w:rsid w:val="00C720B2"/>
    <w:rsid w:val="00C72A9A"/>
    <w:rsid w:val="00C72BE9"/>
    <w:rsid w:val="00C765EA"/>
    <w:rsid w:val="00C76749"/>
    <w:rsid w:val="00C81FD3"/>
    <w:rsid w:val="00C8252C"/>
    <w:rsid w:val="00C84675"/>
    <w:rsid w:val="00C865CD"/>
    <w:rsid w:val="00C86675"/>
    <w:rsid w:val="00C9221D"/>
    <w:rsid w:val="00C952A9"/>
    <w:rsid w:val="00CA0C30"/>
    <w:rsid w:val="00CA36A4"/>
    <w:rsid w:val="00CA52F0"/>
    <w:rsid w:val="00CA589B"/>
    <w:rsid w:val="00CB0F10"/>
    <w:rsid w:val="00CB1041"/>
    <w:rsid w:val="00CB45B4"/>
    <w:rsid w:val="00CB54B6"/>
    <w:rsid w:val="00CC0A0C"/>
    <w:rsid w:val="00CC101C"/>
    <w:rsid w:val="00CC4DCF"/>
    <w:rsid w:val="00CC739F"/>
    <w:rsid w:val="00CD27A9"/>
    <w:rsid w:val="00CD4658"/>
    <w:rsid w:val="00CD6046"/>
    <w:rsid w:val="00CD6132"/>
    <w:rsid w:val="00CE0782"/>
    <w:rsid w:val="00CE0F0C"/>
    <w:rsid w:val="00CE7AEA"/>
    <w:rsid w:val="00CF0BAF"/>
    <w:rsid w:val="00D00806"/>
    <w:rsid w:val="00D02080"/>
    <w:rsid w:val="00D0334A"/>
    <w:rsid w:val="00D058DE"/>
    <w:rsid w:val="00D06AAD"/>
    <w:rsid w:val="00D1037C"/>
    <w:rsid w:val="00D112BF"/>
    <w:rsid w:val="00D13A70"/>
    <w:rsid w:val="00D26C9D"/>
    <w:rsid w:val="00D347DE"/>
    <w:rsid w:val="00D45C32"/>
    <w:rsid w:val="00D4675C"/>
    <w:rsid w:val="00D52B5C"/>
    <w:rsid w:val="00D56490"/>
    <w:rsid w:val="00D62223"/>
    <w:rsid w:val="00D675B2"/>
    <w:rsid w:val="00D7154F"/>
    <w:rsid w:val="00D716DB"/>
    <w:rsid w:val="00D74ACD"/>
    <w:rsid w:val="00D77112"/>
    <w:rsid w:val="00D86D86"/>
    <w:rsid w:val="00D90E6C"/>
    <w:rsid w:val="00D9453C"/>
    <w:rsid w:val="00D95317"/>
    <w:rsid w:val="00D959AA"/>
    <w:rsid w:val="00D95E46"/>
    <w:rsid w:val="00DA256E"/>
    <w:rsid w:val="00DB12EE"/>
    <w:rsid w:val="00DB1913"/>
    <w:rsid w:val="00DB7927"/>
    <w:rsid w:val="00DB7BB6"/>
    <w:rsid w:val="00DC3DE9"/>
    <w:rsid w:val="00DC40DC"/>
    <w:rsid w:val="00DC5EF1"/>
    <w:rsid w:val="00DC6475"/>
    <w:rsid w:val="00DC68CB"/>
    <w:rsid w:val="00DC6E88"/>
    <w:rsid w:val="00DC7A12"/>
    <w:rsid w:val="00DC7A63"/>
    <w:rsid w:val="00DD7459"/>
    <w:rsid w:val="00DE045D"/>
    <w:rsid w:val="00DE4F4F"/>
    <w:rsid w:val="00DE6604"/>
    <w:rsid w:val="00DF17F5"/>
    <w:rsid w:val="00DF2C5E"/>
    <w:rsid w:val="00DF434F"/>
    <w:rsid w:val="00DF48F7"/>
    <w:rsid w:val="00E016E0"/>
    <w:rsid w:val="00E03368"/>
    <w:rsid w:val="00E1119A"/>
    <w:rsid w:val="00E14C02"/>
    <w:rsid w:val="00E21B9A"/>
    <w:rsid w:val="00E24082"/>
    <w:rsid w:val="00E25EE4"/>
    <w:rsid w:val="00E26F93"/>
    <w:rsid w:val="00E30EF7"/>
    <w:rsid w:val="00E320AE"/>
    <w:rsid w:val="00E3276A"/>
    <w:rsid w:val="00E35C98"/>
    <w:rsid w:val="00E4026E"/>
    <w:rsid w:val="00E41C39"/>
    <w:rsid w:val="00E42441"/>
    <w:rsid w:val="00E432DA"/>
    <w:rsid w:val="00E43C3C"/>
    <w:rsid w:val="00E43FF2"/>
    <w:rsid w:val="00E45D2F"/>
    <w:rsid w:val="00E47B4F"/>
    <w:rsid w:val="00E500F2"/>
    <w:rsid w:val="00E5161A"/>
    <w:rsid w:val="00E52E9F"/>
    <w:rsid w:val="00E63F5D"/>
    <w:rsid w:val="00E65740"/>
    <w:rsid w:val="00E6736C"/>
    <w:rsid w:val="00E74F8A"/>
    <w:rsid w:val="00E76173"/>
    <w:rsid w:val="00E815CE"/>
    <w:rsid w:val="00E825BA"/>
    <w:rsid w:val="00E83821"/>
    <w:rsid w:val="00E83DFA"/>
    <w:rsid w:val="00E85A0F"/>
    <w:rsid w:val="00E869FB"/>
    <w:rsid w:val="00E9253B"/>
    <w:rsid w:val="00E94F90"/>
    <w:rsid w:val="00E95989"/>
    <w:rsid w:val="00E96B20"/>
    <w:rsid w:val="00EA2389"/>
    <w:rsid w:val="00EB0A8A"/>
    <w:rsid w:val="00EB0C0D"/>
    <w:rsid w:val="00EB129D"/>
    <w:rsid w:val="00EB1516"/>
    <w:rsid w:val="00EB1E4B"/>
    <w:rsid w:val="00EB5E24"/>
    <w:rsid w:val="00EC0F6D"/>
    <w:rsid w:val="00EC2369"/>
    <w:rsid w:val="00EC5030"/>
    <w:rsid w:val="00EC7963"/>
    <w:rsid w:val="00ED1D5A"/>
    <w:rsid w:val="00ED3F1A"/>
    <w:rsid w:val="00ED4959"/>
    <w:rsid w:val="00ED5C72"/>
    <w:rsid w:val="00EE150A"/>
    <w:rsid w:val="00EE3053"/>
    <w:rsid w:val="00EE334F"/>
    <w:rsid w:val="00EE6FCA"/>
    <w:rsid w:val="00EF3079"/>
    <w:rsid w:val="00EF3551"/>
    <w:rsid w:val="00F0035E"/>
    <w:rsid w:val="00F031A5"/>
    <w:rsid w:val="00F035A1"/>
    <w:rsid w:val="00F04742"/>
    <w:rsid w:val="00F05ED2"/>
    <w:rsid w:val="00F07658"/>
    <w:rsid w:val="00F16BFC"/>
    <w:rsid w:val="00F16D6C"/>
    <w:rsid w:val="00F2254B"/>
    <w:rsid w:val="00F306E5"/>
    <w:rsid w:val="00F32F91"/>
    <w:rsid w:val="00F337FA"/>
    <w:rsid w:val="00F34796"/>
    <w:rsid w:val="00F35382"/>
    <w:rsid w:val="00F35BFF"/>
    <w:rsid w:val="00F44C9D"/>
    <w:rsid w:val="00F46B41"/>
    <w:rsid w:val="00F4788B"/>
    <w:rsid w:val="00F50233"/>
    <w:rsid w:val="00F51BC8"/>
    <w:rsid w:val="00F5345B"/>
    <w:rsid w:val="00F543B4"/>
    <w:rsid w:val="00F56D78"/>
    <w:rsid w:val="00F6400A"/>
    <w:rsid w:val="00F641DE"/>
    <w:rsid w:val="00F64C32"/>
    <w:rsid w:val="00F67EC9"/>
    <w:rsid w:val="00F712BB"/>
    <w:rsid w:val="00F71816"/>
    <w:rsid w:val="00F71B88"/>
    <w:rsid w:val="00F731AB"/>
    <w:rsid w:val="00F74243"/>
    <w:rsid w:val="00F75793"/>
    <w:rsid w:val="00F77A53"/>
    <w:rsid w:val="00F77F7B"/>
    <w:rsid w:val="00F83EE7"/>
    <w:rsid w:val="00F85990"/>
    <w:rsid w:val="00F87759"/>
    <w:rsid w:val="00F87DDD"/>
    <w:rsid w:val="00F902C8"/>
    <w:rsid w:val="00F903DE"/>
    <w:rsid w:val="00F92FD7"/>
    <w:rsid w:val="00FA1ECE"/>
    <w:rsid w:val="00FA61E0"/>
    <w:rsid w:val="00FA75B3"/>
    <w:rsid w:val="00FB0C07"/>
    <w:rsid w:val="00FB1B61"/>
    <w:rsid w:val="00FB22B3"/>
    <w:rsid w:val="00FB3493"/>
    <w:rsid w:val="00FB6295"/>
    <w:rsid w:val="00FC3A7F"/>
    <w:rsid w:val="00FC6E2C"/>
    <w:rsid w:val="00FD049A"/>
    <w:rsid w:val="00FD3593"/>
    <w:rsid w:val="00FD65A7"/>
    <w:rsid w:val="00FE1520"/>
    <w:rsid w:val="00FE31E5"/>
    <w:rsid w:val="00FE32A4"/>
    <w:rsid w:val="00FE6E82"/>
    <w:rsid w:val="00FF0B2E"/>
    <w:rsid w:val="00FF4BA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628A2"/>
  <w15:chartTrackingRefBased/>
  <w15:docId w15:val="{F9B0B218-F4DC-4247-ADD5-53717BAA2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2BCB"/>
    <w:rPr>
      <w:kern w:val="0"/>
      <w14:ligatures w14:val="none"/>
    </w:rPr>
  </w:style>
  <w:style w:type="paragraph" w:styleId="Ttulo1">
    <w:name w:val="heading 1"/>
    <w:basedOn w:val="Normal"/>
    <w:next w:val="Normal"/>
    <w:link w:val="Ttulo1Car"/>
    <w:uiPriority w:val="9"/>
    <w:qFormat/>
    <w:rsid w:val="003406E6"/>
    <w:pPr>
      <w:keepNext/>
      <w:keepLines/>
      <w:spacing w:before="240" w:after="0"/>
      <w:outlineLvl w:val="0"/>
    </w:pPr>
    <w:rPr>
      <w:rFonts w:ascii="Times New Roman" w:eastAsiaTheme="majorEastAsia" w:hAnsi="Times New Roman" w:cstheme="majorBidi"/>
      <w:b/>
      <w:color w:val="000000" w:themeColor="text1"/>
      <w:sz w:val="24"/>
      <w:szCs w:val="32"/>
    </w:rPr>
  </w:style>
  <w:style w:type="paragraph" w:styleId="Ttulo2">
    <w:name w:val="heading 2"/>
    <w:basedOn w:val="Normal"/>
    <w:next w:val="Normal"/>
    <w:link w:val="Ttulo2Car"/>
    <w:uiPriority w:val="9"/>
    <w:unhideWhenUsed/>
    <w:qFormat/>
    <w:rsid w:val="0040443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unhideWhenUsed/>
    <w:qFormat/>
    <w:rsid w:val="001C42E8"/>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402656"/>
    <w:pPr>
      <w:keepNext/>
      <w:keepLines/>
      <w:spacing w:before="80" w:after="40"/>
      <w:outlineLvl w:val="3"/>
    </w:pPr>
    <w:rPr>
      <w:rFonts w:eastAsiaTheme="majorEastAsia"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406E6"/>
    <w:rPr>
      <w:rFonts w:ascii="Times New Roman" w:eastAsiaTheme="majorEastAsia" w:hAnsi="Times New Roman" w:cstheme="majorBidi"/>
      <w:b/>
      <w:color w:val="000000" w:themeColor="text1"/>
      <w:kern w:val="0"/>
      <w:sz w:val="24"/>
      <w:szCs w:val="32"/>
      <w14:ligatures w14:val="none"/>
    </w:rPr>
  </w:style>
  <w:style w:type="character" w:customStyle="1" w:styleId="Ttulo2Car">
    <w:name w:val="Título 2 Car"/>
    <w:basedOn w:val="Fuentedeprrafopredeter"/>
    <w:link w:val="Ttulo2"/>
    <w:uiPriority w:val="9"/>
    <w:semiHidden/>
    <w:rsid w:val="00404430"/>
    <w:rPr>
      <w:rFonts w:asciiTheme="majorHAnsi" w:eastAsiaTheme="majorEastAsia" w:hAnsiTheme="majorHAnsi" w:cstheme="majorBidi"/>
      <w:color w:val="2F5496" w:themeColor="accent1" w:themeShade="BF"/>
      <w:kern w:val="0"/>
      <w:sz w:val="32"/>
      <w:szCs w:val="32"/>
      <w14:ligatures w14:val="none"/>
    </w:rPr>
  </w:style>
  <w:style w:type="character" w:customStyle="1" w:styleId="Ttulo3Car">
    <w:name w:val="Título 3 Car"/>
    <w:basedOn w:val="Fuentedeprrafopredeter"/>
    <w:link w:val="Ttulo3"/>
    <w:uiPriority w:val="9"/>
    <w:semiHidden/>
    <w:rsid w:val="001C42E8"/>
    <w:rPr>
      <w:rFonts w:eastAsiaTheme="majorEastAsia" w:cstheme="majorBidi"/>
      <w:color w:val="2F5496" w:themeColor="accent1" w:themeShade="BF"/>
      <w:kern w:val="0"/>
      <w:sz w:val="28"/>
      <w:szCs w:val="28"/>
      <w14:ligatures w14:val="none"/>
    </w:rPr>
  </w:style>
  <w:style w:type="character" w:customStyle="1" w:styleId="Ttulo4Car">
    <w:name w:val="Título 4 Car"/>
    <w:basedOn w:val="Fuentedeprrafopredeter"/>
    <w:link w:val="Ttulo4"/>
    <w:uiPriority w:val="9"/>
    <w:semiHidden/>
    <w:rsid w:val="00402656"/>
    <w:rPr>
      <w:rFonts w:eastAsiaTheme="majorEastAsia" w:cstheme="majorBidi"/>
      <w:i/>
      <w:iCs/>
      <w:color w:val="2F5496" w:themeColor="accent1" w:themeShade="BF"/>
      <w:kern w:val="0"/>
      <w14:ligatures w14:val="none"/>
    </w:rPr>
  </w:style>
  <w:style w:type="character" w:styleId="Refdecomentario">
    <w:name w:val="annotation reference"/>
    <w:basedOn w:val="Fuentedeprrafopredeter"/>
    <w:uiPriority w:val="99"/>
    <w:semiHidden/>
    <w:unhideWhenUsed/>
    <w:rsid w:val="007B051C"/>
    <w:rPr>
      <w:sz w:val="16"/>
      <w:szCs w:val="16"/>
    </w:rPr>
  </w:style>
  <w:style w:type="paragraph" w:styleId="Textocomentario">
    <w:name w:val="annotation text"/>
    <w:basedOn w:val="Normal"/>
    <w:link w:val="TextocomentarioCar"/>
    <w:uiPriority w:val="99"/>
    <w:unhideWhenUsed/>
    <w:rsid w:val="007B051C"/>
    <w:pPr>
      <w:spacing w:line="240" w:lineRule="auto"/>
    </w:pPr>
    <w:rPr>
      <w:sz w:val="20"/>
      <w:szCs w:val="20"/>
    </w:rPr>
  </w:style>
  <w:style w:type="character" w:customStyle="1" w:styleId="TextocomentarioCar">
    <w:name w:val="Texto comentario Car"/>
    <w:basedOn w:val="Fuentedeprrafopredeter"/>
    <w:link w:val="Textocomentario"/>
    <w:uiPriority w:val="99"/>
    <w:rsid w:val="007B051C"/>
    <w:rPr>
      <w:kern w:val="0"/>
      <w:sz w:val="20"/>
      <w:szCs w:val="20"/>
      <w14:ligatures w14:val="none"/>
    </w:rPr>
  </w:style>
  <w:style w:type="paragraph" w:styleId="Asuntodelcomentario">
    <w:name w:val="annotation subject"/>
    <w:basedOn w:val="Textocomentario"/>
    <w:next w:val="Textocomentario"/>
    <w:link w:val="AsuntodelcomentarioCar"/>
    <w:uiPriority w:val="99"/>
    <w:semiHidden/>
    <w:unhideWhenUsed/>
    <w:rsid w:val="007B051C"/>
    <w:rPr>
      <w:b/>
      <w:bCs/>
    </w:rPr>
  </w:style>
  <w:style w:type="character" w:customStyle="1" w:styleId="AsuntodelcomentarioCar">
    <w:name w:val="Asunto del comentario Car"/>
    <w:basedOn w:val="TextocomentarioCar"/>
    <w:link w:val="Asuntodelcomentario"/>
    <w:uiPriority w:val="99"/>
    <w:semiHidden/>
    <w:rsid w:val="007B051C"/>
    <w:rPr>
      <w:b/>
      <w:bCs/>
      <w:kern w:val="0"/>
      <w:sz w:val="20"/>
      <w:szCs w:val="20"/>
      <w14:ligatures w14:val="none"/>
    </w:rPr>
  </w:style>
  <w:style w:type="paragraph" w:styleId="Prrafodelista">
    <w:name w:val="List Paragraph"/>
    <w:basedOn w:val="Normal"/>
    <w:uiPriority w:val="34"/>
    <w:qFormat/>
    <w:rsid w:val="007B051C"/>
    <w:pPr>
      <w:ind w:left="720"/>
      <w:contextualSpacing/>
    </w:pPr>
  </w:style>
  <w:style w:type="paragraph" w:styleId="Descripcin">
    <w:name w:val="caption"/>
    <w:basedOn w:val="Normal"/>
    <w:next w:val="Normal"/>
    <w:uiPriority w:val="35"/>
    <w:unhideWhenUsed/>
    <w:qFormat/>
    <w:rsid w:val="00F51BC8"/>
    <w:pPr>
      <w:spacing w:after="200" w:line="240" w:lineRule="auto"/>
    </w:pPr>
    <w:rPr>
      <w:i/>
      <w:iCs/>
      <w:color w:val="44546A" w:themeColor="text2"/>
      <w:sz w:val="18"/>
      <w:szCs w:val="18"/>
      <w:lang w:val="en-US"/>
    </w:rPr>
  </w:style>
  <w:style w:type="table" w:styleId="Tablaconcuadrcula">
    <w:name w:val="Table Grid"/>
    <w:basedOn w:val="Tablanormal"/>
    <w:uiPriority w:val="39"/>
    <w:rsid w:val="00F51B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51BC8"/>
    <w:pPr>
      <w:autoSpaceDE w:val="0"/>
      <w:autoSpaceDN w:val="0"/>
      <w:adjustRightInd w:val="0"/>
      <w:spacing w:after="0" w:line="240" w:lineRule="auto"/>
    </w:pPr>
    <w:rPr>
      <w:rFonts w:ascii="Arial" w:hAnsi="Arial" w:cs="Arial"/>
      <w:color w:val="000000"/>
      <w:kern w:val="0"/>
      <w:sz w:val="24"/>
      <w:szCs w:val="24"/>
      <w14:ligatures w14:val="none"/>
    </w:rPr>
  </w:style>
  <w:style w:type="table" w:styleId="Tablanormal2">
    <w:name w:val="Plain Table 2"/>
    <w:basedOn w:val="Tablanormal"/>
    <w:uiPriority w:val="42"/>
    <w:rsid w:val="00DC7A12"/>
    <w:pPr>
      <w:spacing w:after="0" w:line="240" w:lineRule="auto"/>
    </w:pPr>
    <w:rPr>
      <w:kern w:val="0"/>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Standard">
    <w:name w:val="Standard"/>
    <w:rsid w:val="00B61F4E"/>
    <w:pPr>
      <w:suppressAutoHyphens/>
      <w:autoSpaceDN w:val="0"/>
      <w:spacing w:line="251" w:lineRule="auto"/>
      <w:textAlignment w:val="baseline"/>
    </w:pPr>
    <w:rPr>
      <w:rFonts w:ascii="Calibri" w:eastAsia="Calibri" w:hAnsi="Calibri" w:cs="Calibri"/>
      <w:kern w:val="0"/>
      <w:lang w:eastAsia="es-CR"/>
      <w14:ligatures w14:val="none"/>
    </w:rPr>
  </w:style>
  <w:style w:type="paragraph" w:styleId="TtuloTDC">
    <w:name w:val="TOC Heading"/>
    <w:basedOn w:val="Ttulo1"/>
    <w:next w:val="Normal"/>
    <w:uiPriority w:val="39"/>
    <w:unhideWhenUsed/>
    <w:qFormat/>
    <w:rsid w:val="000119BE"/>
    <w:pPr>
      <w:outlineLvl w:val="9"/>
    </w:pPr>
    <w:rPr>
      <w:lang w:eastAsia="es-CR"/>
    </w:rPr>
  </w:style>
  <w:style w:type="paragraph" w:styleId="TDC1">
    <w:name w:val="toc 1"/>
    <w:basedOn w:val="Normal"/>
    <w:next w:val="Normal"/>
    <w:autoRedefine/>
    <w:uiPriority w:val="39"/>
    <w:unhideWhenUsed/>
    <w:rsid w:val="000119BE"/>
    <w:pPr>
      <w:spacing w:after="100"/>
    </w:pPr>
  </w:style>
  <w:style w:type="paragraph" w:styleId="TDC3">
    <w:name w:val="toc 3"/>
    <w:basedOn w:val="Normal"/>
    <w:next w:val="Normal"/>
    <w:autoRedefine/>
    <w:uiPriority w:val="39"/>
    <w:unhideWhenUsed/>
    <w:rsid w:val="000119BE"/>
    <w:pPr>
      <w:tabs>
        <w:tab w:val="right" w:leader="dot" w:pos="8828"/>
      </w:tabs>
      <w:spacing w:after="100"/>
      <w:ind w:left="440"/>
    </w:pPr>
  </w:style>
  <w:style w:type="character" w:styleId="Hipervnculo">
    <w:name w:val="Hyperlink"/>
    <w:basedOn w:val="Fuentedeprrafopredeter"/>
    <w:uiPriority w:val="99"/>
    <w:unhideWhenUsed/>
    <w:rsid w:val="000119BE"/>
    <w:rPr>
      <w:color w:val="0563C1" w:themeColor="hyperlink"/>
      <w:u w:val="single"/>
    </w:rPr>
  </w:style>
  <w:style w:type="paragraph" w:styleId="Tabladeilustraciones">
    <w:name w:val="table of figures"/>
    <w:basedOn w:val="Normal"/>
    <w:next w:val="Normal"/>
    <w:uiPriority w:val="99"/>
    <w:unhideWhenUsed/>
    <w:rsid w:val="000119BE"/>
    <w:pPr>
      <w:spacing w:after="0"/>
    </w:pPr>
  </w:style>
  <w:style w:type="paragraph" w:styleId="Encabezado">
    <w:name w:val="header"/>
    <w:basedOn w:val="Normal"/>
    <w:link w:val="EncabezadoCar"/>
    <w:uiPriority w:val="99"/>
    <w:unhideWhenUsed/>
    <w:rsid w:val="009357B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357B8"/>
    <w:rPr>
      <w:kern w:val="0"/>
      <w14:ligatures w14:val="none"/>
    </w:rPr>
  </w:style>
  <w:style w:type="paragraph" w:styleId="Piedepgina">
    <w:name w:val="footer"/>
    <w:basedOn w:val="Normal"/>
    <w:link w:val="PiedepginaCar"/>
    <w:uiPriority w:val="99"/>
    <w:unhideWhenUsed/>
    <w:rsid w:val="009357B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357B8"/>
    <w:rPr>
      <w:kern w:val="0"/>
      <w14:ligatures w14:val="none"/>
    </w:rPr>
  </w:style>
  <w:style w:type="character" w:styleId="Mencinsinresolver">
    <w:name w:val="Unresolved Mention"/>
    <w:basedOn w:val="Fuentedeprrafopredeter"/>
    <w:uiPriority w:val="99"/>
    <w:semiHidden/>
    <w:unhideWhenUsed/>
    <w:rsid w:val="000A3843"/>
    <w:rPr>
      <w:color w:val="605E5C"/>
      <w:shd w:val="clear" w:color="auto" w:fill="E1DFDD"/>
    </w:rPr>
  </w:style>
  <w:style w:type="paragraph" w:styleId="NormalWeb">
    <w:name w:val="Normal (Web)"/>
    <w:basedOn w:val="Normal"/>
    <w:uiPriority w:val="99"/>
    <w:unhideWhenUsed/>
    <w:rsid w:val="001427A6"/>
    <w:pPr>
      <w:spacing w:before="100" w:beforeAutospacing="1" w:after="100" w:afterAutospacing="1" w:line="240" w:lineRule="auto"/>
    </w:pPr>
    <w:rPr>
      <w:rFonts w:ascii="Times New Roman" w:eastAsiaTheme="minorEastAsia" w:hAnsi="Times New Roman" w:cs="Times New Roman"/>
      <w:sz w:val="24"/>
      <w:szCs w:val="24"/>
      <w:lang w:eastAsia="es-ES"/>
    </w:rPr>
  </w:style>
  <w:style w:type="character" w:customStyle="1" w:styleId="apple-converted-space">
    <w:name w:val="apple-converted-space"/>
    <w:basedOn w:val="Fuentedeprrafopredeter"/>
    <w:rsid w:val="004A5132"/>
  </w:style>
  <w:style w:type="character" w:styleId="nfasis">
    <w:name w:val="Emphasis"/>
    <w:basedOn w:val="Fuentedeprrafopredeter"/>
    <w:uiPriority w:val="20"/>
    <w:qFormat/>
    <w:rsid w:val="004A5132"/>
    <w:rPr>
      <w:i/>
      <w:iCs/>
    </w:rPr>
  </w:style>
  <w:style w:type="character" w:customStyle="1" w:styleId="ms-1">
    <w:name w:val="ms-1"/>
    <w:basedOn w:val="Fuentedeprrafopredeter"/>
    <w:rsid w:val="001C42E8"/>
  </w:style>
  <w:style w:type="character" w:customStyle="1" w:styleId="max-w-15ch">
    <w:name w:val="max-w-[15ch]"/>
    <w:basedOn w:val="Fuentedeprrafopredeter"/>
    <w:rsid w:val="001C42E8"/>
  </w:style>
  <w:style w:type="character" w:customStyle="1" w:styleId="-me-1">
    <w:name w:val="-me-1"/>
    <w:basedOn w:val="Fuentedeprrafopredeter"/>
    <w:rsid w:val="001C42E8"/>
  </w:style>
  <w:style w:type="character" w:styleId="Textoennegrita">
    <w:name w:val="Strong"/>
    <w:basedOn w:val="Fuentedeprrafopredeter"/>
    <w:uiPriority w:val="22"/>
    <w:qFormat/>
    <w:rsid w:val="00575FB0"/>
    <w:rPr>
      <w:b/>
      <w:bCs/>
    </w:rPr>
  </w:style>
  <w:style w:type="paragraph" w:customStyle="1" w:styleId="p1">
    <w:name w:val="p1"/>
    <w:basedOn w:val="Normal"/>
    <w:rsid w:val="00B20969"/>
    <w:pPr>
      <w:spacing w:before="100" w:beforeAutospacing="1" w:after="100" w:afterAutospacing="1" w:line="240" w:lineRule="auto"/>
    </w:pPr>
    <w:rPr>
      <w:rFonts w:ascii="Times New Roman" w:eastAsiaTheme="minorEastAsia" w:hAnsi="Times New Roman" w:cs="Times New Roman"/>
      <w:sz w:val="24"/>
      <w:szCs w:val="24"/>
      <w:lang w:eastAsia="es-ES"/>
    </w:rPr>
  </w:style>
  <w:style w:type="character" w:customStyle="1" w:styleId="s1">
    <w:name w:val="s1"/>
    <w:basedOn w:val="Fuentedeprrafopredeter"/>
    <w:rsid w:val="00B20969"/>
  </w:style>
  <w:style w:type="character" w:customStyle="1" w:styleId="s2">
    <w:name w:val="s2"/>
    <w:basedOn w:val="Fuentedeprrafopredeter"/>
    <w:rsid w:val="00B20969"/>
  </w:style>
  <w:style w:type="paragraph" w:customStyle="1" w:styleId="p2">
    <w:name w:val="p2"/>
    <w:basedOn w:val="Normal"/>
    <w:rsid w:val="00F035A1"/>
    <w:pPr>
      <w:spacing w:before="100" w:beforeAutospacing="1" w:after="100" w:afterAutospacing="1" w:line="240" w:lineRule="auto"/>
    </w:pPr>
    <w:rPr>
      <w:rFonts w:ascii="Times New Roman" w:eastAsiaTheme="minorEastAsia" w:hAnsi="Times New Roman" w:cs="Times New Roman"/>
      <w:sz w:val="24"/>
      <w:szCs w:val="24"/>
      <w:lang w:eastAsia="es-ES"/>
    </w:rPr>
  </w:style>
  <w:style w:type="paragraph" w:customStyle="1" w:styleId="p3">
    <w:name w:val="p3"/>
    <w:basedOn w:val="Normal"/>
    <w:rsid w:val="00F035A1"/>
    <w:pPr>
      <w:spacing w:before="100" w:beforeAutospacing="1" w:after="100" w:afterAutospacing="1" w:line="240" w:lineRule="auto"/>
    </w:pPr>
    <w:rPr>
      <w:rFonts w:ascii="Times New Roman" w:eastAsiaTheme="minorEastAsia" w:hAnsi="Times New Roman" w:cs="Times New Roman"/>
      <w:sz w:val="24"/>
      <w:szCs w:val="24"/>
      <w:lang w:eastAsia="es-ES"/>
    </w:rPr>
  </w:style>
  <w:style w:type="character" w:customStyle="1" w:styleId="s3">
    <w:name w:val="s3"/>
    <w:basedOn w:val="Fuentedeprrafopredeter"/>
    <w:rsid w:val="00F035A1"/>
  </w:style>
  <w:style w:type="character" w:customStyle="1" w:styleId="s4">
    <w:name w:val="s4"/>
    <w:basedOn w:val="Fuentedeprrafopredeter"/>
    <w:rsid w:val="00F035A1"/>
  </w:style>
  <w:style w:type="paragraph" w:styleId="TDC2">
    <w:name w:val="toc 2"/>
    <w:basedOn w:val="Normal"/>
    <w:next w:val="Normal"/>
    <w:autoRedefine/>
    <w:uiPriority w:val="39"/>
    <w:unhideWhenUsed/>
    <w:rsid w:val="003406E6"/>
    <w:pPr>
      <w:spacing w:after="100"/>
      <w:ind w:left="220"/>
    </w:pPr>
  </w:style>
  <w:style w:type="table" w:styleId="Tablaconcuadrcula1clara">
    <w:name w:val="Grid Table 1 Light"/>
    <w:basedOn w:val="Tablanormal"/>
    <w:uiPriority w:val="46"/>
    <w:rsid w:val="005245B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ature.com/articles/s41392-024-01743-1" TargetMode="External"/><Relationship Id="rId18" Type="http://schemas.openxmlformats.org/officeDocument/2006/relationships/hyperlink" Target="https://doi.org/10.1152/physrev.00018.2018" TargetMode="External"/><Relationship Id="rId26" Type="http://schemas.openxmlformats.org/officeDocument/2006/relationships/hyperlink" Target="https://www.ncbi.nlm.nih.gov/pmc/articles/PMC9152137/" TargetMode="External"/><Relationship Id="rId39" Type="http://schemas.openxmlformats.org/officeDocument/2006/relationships/hyperlink" Target="https://pubmed.ncbi.nlm.nih.gov/31694408/" TargetMode="External"/><Relationship Id="rId21" Type="http://schemas.openxmlformats.org/officeDocument/2006/relationships/hyperlink" Target="https://doi.org/10.3390/biomedicines9040455" TargetMode="External"/><Relationship Id="rId34" Type="http://schemas.openxmlformats.org/officeDocument/2006/relationships/hyperlink" Target="https://kimuk.conare.ac.cr/Record/KUCR_13b84fb901f793e65b0a9c72e5cc868f"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frontiersin.org/articles/10.3389/fcimb.2023.1282431/full" TargetMode="External"/><Relationship Id="rId20" Type="http://schemas.openxmlformats.org/officeDocument/2006/relationships/hyperlink" Target="https://doi.org/10.3748/wjg.v23.i30.5486" TargetMode="External"/><Relationship Id="rId29" Type="http://schemas.openxmlformats.org/officeDocument/2006/relationships/hyperlink" Target="https://www.ncbi.nlm.nih.gov/pmc/articles/PMC8791218/"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estadonacion.or.cr" TargetMode="External"/><Relationship Id="rId32" Type="http://schemas.openxmlformats.org/officeDocument/2006/relationships/hyperlink" Target="https://www.kerwa.ucr.ac.cr/items/7ee7e1d3-09ce-442a-add0-2cbc6d5ffb20" TargetMode="External"/><Relationship Id="rId37" Type="http://schemas.openxmlformats.org/officeDocument/2006/relationships/hyperlink" Target="https://pubmed.ncbi.nlm.nih.gov/29030629/" TargetMode="External"/><Relationship Id="rId40" Type="http://schemas.openxmlformats.org/officeDocument/2006/relationships/hyperlink" Target="https://pubmed.ncbi.nlm.nih.gov/25476529/" TargetMode="External"/><Relationship Id="rId5" Type="http://schemas.openxmlformats.org/officeDocument/2006/relationships/webSettings" Target="webSettings.xml"/><Relationship Id="rId15" Type="http://schemas.openxmlformats.org/officeDocument/2006/relationships/hyperlink" Target="https://www.ncbi.nlm.nih.gov/pmc/articles/PMC10609969/" TargetMode="External"/><Relationship Id="rId23" Type="http://schemas.openxmlformats.org/officeDocument/2006/relationships/hyperlink" Target="https://www.who.int/publications/i/item/9789240033245" TargetMode="External"/><Relationship Id="rId28" Type="http://schemas.openxmlformats.org/officeDocument/2006/relationships/hyperlink" Target="https://www.ncbi.nlm.nih.gov/pmc/articles/PMC10580335" TargetMode="External"/><Relationship Id="rId36" Type="http://schemas.openxmlformats.org/officeDocument/2006/relationships/hyperlink" Target="https://cita.ucr.ac.cr/microbiota-intestinal-y-envejecimiento-saludable-el-caso-de-la-peninsula-de-nicoya-costa-rica" TargetMode="External"/><Relationship Id="rId10" Type="http://schemas.openxmlformats.org/officeDocument/2006/relationships/image" Target="media/image2.png"/><Relationship Id="rId19" Type="http://schemas.openxmlformats.org/officeDocument/2006/relationships/hyperlink" Target="https://doi.org/10.1038/s41579-020-00460-0" TargetMode="External"/><Relationship Id="rId31" Type="http://schemas.openxmlformats.org/officeDocument/2006/relationships/hyperlink" Target="https://www.aginganddisease.org/EN/10.14336/AD.2021.1215"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translationalneurodegeneration.biomedcentral.com/articles/10.1186/s40035-023-00392-8" TargetMode="External"/><Relationship Id="rId22" Type="http://schemas.openxmlformats.org/officeDocument/2006/relationships/hyperlink" Target="https://doi.org/10.3389/fendo.2020.00025" TargetMode="External"/><Relationship Id="rId27" Type="http://schemas.openxmlformats.org/officeDocument/2006/relationships/hyperlink" Target="https://www.ncbi.nlm.nih.gov/pmc/articles/PMC10631445/" TargetMode="External"/><Relationship Id="rId30" Type="http://schemas.openxmlformats.org/officeDocument/2006/relationships/hyperlink" Target="https://jamanetwork.com/journals/jamaneurology/fullarticle/2821254" TargetMode="External"/><Relationship Id="rId35" Type="http://schemas.openxmlformats.org/officeDocument/2006/relationships/hyperlink" Target="https://www.kerwa.ucr.ac.cr/items/6e97a13c-b624-43b6-a57b-344fc66fb1d1" TargetMode="External"/><Relationship Id="rId43" Type="http://schemas.microsoft.com/office/2020/10/relationships/intelligence" Target="intelligence2.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www.ncbi.nlm.nih.gov/pmc/articles/PMC10436500/" TargetMode="External"/><Relationship Id="rId17" Type="http://schemas.openxmlformats.org/officeDocument/2006/relationships/hyperlink" Target="https://www.medigraphic.com/cgi-bin/new/resumen.cgi?IDARTICULO=118712" TargetMode="External"/><Relationship Id="rId25" Type="http://schemas.openxmlformats.org/officeDocument/2006/relationships/hyperlink" Target="https://pubmed.ncbi.nlm.nih.gov/35027502/" TargetMode="External"/><Relationship Id="rId33" Type="http://schemas.openxmlformats.org/officeDocument/2006/relationships/hyperlink" Target="https://revistacienciaysalud.ac.cr/ojs/index.php/cienciaysalud/article/view/374/506" TargetMode="External"/><Relationship Id="rId38" Type="http://schemas.openxmlformats.org/officeDocument/2006/relationships/hyperlink" Target="https://pubmed.ncbi.nlm.nih.gov/2809266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DC92DC-B31B-4DF4-908D-BF1EC2019E0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155</Pages>
  <Words>43123</Words>
  <Characters>237177</Characters>
  <Application>Microsoft Office Word</Application>
  <DocSecurity>0</DocSecurity>
  <Lines>1976</Lines>
  <Paragraphs>559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279741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Arias Arias</dc:creator>
  <cp:keywords/>
  <dc:description/>
  <cp:lastModifiedBy>VILLAREAL VEGA ZORAIDA</cp:lastModifiedBy>
  <cp:revision>2</cp:revision>
  <dcterms:created xsi:type="dcterms:W3CDTF">2026-03-25T20:06:00Z</dcterms:created>
  <dcterms:modified xsi:type="dcterms:W3CDTF">2026-03-25T20:06:00Z</dcterms:modified>
</cp:coreProperties>
</file>